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sz w:val="32"/>
          <w:szCs w:val="32"/>
        </w:rPr>
      </w:pPr>
      <w:r>
        <w:pict>
          <v:shape id="_x0000_i1025" o:spt="75" alt="校徽.jpg" type="#_x0000_t75" style="height:71.25pt;width:73.5pt;" filled="f" o:preferrelative="t" stroked="f" coordsize="21600,21600">
            <v:path/>
            <v:fill on="f" focussize="0,0"/>
            <v:stroke on="f" joinstyle="miter"/>
            <v:imagedata r:id="rId6" o:title=""/>
            <o:lock v:ext="edit" aspectratio="t"/>
            <w10:wrap type="none"/>
            <w10:anchorlock/>
          </v:shape>
        </w:pict>
      </w:r>
    </w:p>
    <w:p>
      <w:pPr>
        <w:spacing w:line="360" w:lineRule="auto"/>
        <w:jc w:val="center"/>
        <w:rPr>
          <w:rFonts w:ascii="宋体"/>
          <w:sz w:val="32"/>
          <w:szCs w:val="32"/>
        </w:rPr>
      </w:pPr>
      <w:r>
        <w:rPr>
          <w:rFonts w:ascii="宋体"/>
          <w:sz w:val="32"/>
          <w:szCs w:val="32"/>
        </w:rPr>
        <w:pict>
          <v:shape id="_x0000_i1026" o:spt="75" alt="校名.jpg" type="#_x0000_t75" style="height:87pt;width:267pt;" filled="f" o:preferrelative="t" stroked="f" coordsize="21600,21600">
            <v:path/>
            <v:fill on="f" focussize="0,0"/>
            <v:stroke on="f" joinstyle="miter"/>
            <v:imagedata r:id="rId7" o:title=""/>
            <o:lock v:ext="edit" aspectratio="t"/>
            <w10:wrap type="none"/>
            <w10:anchorlock/>
          </v:shape>
        </w:pict>
      </w:r>
    </w:p>
    <w:p>
      <w:pPr>
        <w:spacing w:line="360" w:lineRule="auto"/>
        <w:jc w:val="center"/>
        <w:rPr>
          <w:sz w:val="32"/>
          <w:szCs w:val="32"/>
        </w:rPr>
      </w:pPr>
    </w:p>
    <w:p>
      <w:pPr>
        <w:spacing w:line="360" w:lineRule="auto"/>
        <w:jc w:val="center"/>
        <w:rPr>
          <w:rFonts w:ascii="黑体" w:hAnsi="黑体" w:eastAsia="黑体"/>
          <w:b/>
          <w:sz w:val="84"/>
          <w:szCs w:val="84"/>
        </w:rPr>
      </w:pPr>
      <w:r>
        <w:rPr>
          <w:rFonts w:hint="eastAsia" w:ascii="黑体" w:hAnsi="黑体" w:eastAsia="黑体"/>
          <w:b/>
          <w:sz w:val="84"/>
          <w:szCs w:val="84"/>
        </w:rPr>
        <w:t>竞争性磋商文件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left"/>
        <w:rPr>
          <w:sz w:val="28"/>
          <w:szCs w:val="28"/>
        </w:rPr>
      </w:pPr>
      <w:r>
        <w:rPr>
          <w:rFonts w:hint="eastAsia"/>
          <w:sz w:val="28"/>
          <w:szCs w:val="28"/>
        </w:rPr>
        <w:t>项目名称：长江大学“长江之声”合唱团原创音乐制作服务</w:t>
      </w:r>
    </w:p>
    <w:p>
      <w:pPr>
        <w:spacing w:line="360" w:lineRule="auto"/>
        <w:jc w:val="left"/>
        <w:rPr>
          <w:sz w:val="28"/>
          <w:szCs w:val="28"/>
        </w:rPr>
      </w:pPr>
      <w:r>
        <w:rPr>
          <w:rFonts w:hint="eastAsia"/>
          <w:sz w:val="28"/>
          <w:szCs w:val="28"/>
        </w:rPr>
        <w:t>项目编号：</w:t>
      </w:r>
      <w:r>
        <w:rPr>
          <w:sz w:val="28"/>
          <w:szCs w:val="28"/>
        </w:rPr>
        <w:t>CDCG2017-059</w:t>
      </w:r>
    </w:p>
    <w:p>
      <w:pPr>
        <w:spacing w:line="360" w:lineRule="auto"/>
        <w:jc w:val="left"/>
        <w:rPr>
          <w:sz w:val="28"/>
          <w:szCs w:val="28"/>
        </w:rPr>
      </w:pPr>
      <w:r>
        <w:rPr>
          <w:rFonts w:hint="eastAsia"/>
          <w:sz w:val="28"/>
          <w:szCs w:val="28"/>
        </w:rPr>
        <w:t>采购单位：艺术学院</w:t>
      </w:r>
    </w:p>
    <w:p>
      <w:pPr>
        <w:spacing w:line="360" w:lineRule="auto"/>
        <w:jc w:val="left"/>
        <w:rPr>
          <w:sz w:val="28"/>
          <w:szCs w:val="28"/>
        </w:rPr>
      </w:pPr>
      <w:r>
        <w:rPr>
          <w:rFonts w:hint="eastAsia"/>
          <w:sz w:val="28"/>
          <w:szCs w:val="28"/>
        </w:rPr>
        <w:t>采购时间：</w:t>
      </w:r>
      <w:r>
        <w:rPr>
          <w:sz w:val="28"/>
          <w:szCs w:val="28"/>
        </w:rPr>
        <w:t>2017</w:t>
      </w:r>
      <w:r>
        <w:rPr>
          <w:rFonts w:hint="eastAsia"/>
          <w:sz w:val="28"/>
          <w:szCs w:val="28"/>
        </w:rPr>
        <w:t>年</w:t>
      </w:r>
      <w:r>
        <w:rPr>
          <w:sz w:val="28"/>
          <w:szCs w:val="28"/>
        </w:rPr>
        <w:t>9</w:t>
      </w:r>
      <w:r>
        <w:rPr>
          <w:rFonts w:hint="eastAsia"/>
          <w:sz w:val="28"/>
          <w:szCs w:val="28"/>
        </w:rPr>
        <w:t>月</w:t>
      </w:r>
      <w:r>
        <w:rPr>
          <w:sz w:val="28"/>
          <w:szCs w:val="28"/>
        </w:rPr>
        <w:t>18</w:t>
      </w:r>
      <w:r>
        <w:rPr>
          <w:rFonts w:hint="eastAsia"/>
          <w:sz w:val="28"/>
          <w:szCs w:val="28"/>
        </w:rPr>
        <w:t>日</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r>
        <w:rPr>
          <w:rFonts w:hint="eastAsia"/>
          <w:sz w:val="28"/>
          <w:szCs w:val="28"/>
        </w:rPr>
        <w:t>长江大学采购与招投标管理处</w:t>
      </w:r>
    </w:p>
    <w:p>
      <w:pPr>
        <w:spacing w:line="360" w:lineRule="auto"/>
        <w:jc w:val="center"/>
        <w:rPr>
          <w:sz w:val="28"/>
          <w:szCs w:val="28"/>
        </w:rPr>
      </w:pPr>
      <w:r>
        <w:rPr>
          <w:rFonts w:hint="eastAsia"/>
          <w:sz w:val="28"/>
          <w:szCs w:val="28"/>
        </w:rPr>
        <w:t>二</w:t>
      </w:r>
      <w:r>
        <w:rPr>
          <w:rFonts w:hint="eastAsia" w:ascii="宋体" w:hAnsi="宋体"/>
          <w:sz w:val="28"/>
          <w:szCs w:val="28"/>
        </w:rPr>
        <w:t>○一七年九月</w:t>
      </w:r>
    </w:p>
    <w:p>
      <w:pPr>
        <w:spacing w:line="360" w:lineRule="auto"/>
        <w:ind w:left="420" w:hanging="420"/>
        <w:jc w:val="center"/>
        <w:rPr>
          <w:rFonts w:ascii="宋体"/>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竞争性磋商邀请函</w:t>
      </w:r>
    </w:p>
    <w:p>
      <w:pPr>
        <w:spacing w:line="360" w:lineRule="auto"/>
        <w:ind w:firstLine="480" w:firstLineChars="200"/>
        <w:rPr>
          <w:rFonts w:ascii="宋体"/>
          <w:sz w:val="24"/>
        </w:rPr>
      </w:pPr>
      <w:r>
        <w:rPr>
          <w:rFonts w:hint="eastAsia" w:ascii="宋体" w:hAnsi="宋体"/>
          <w:sz w:val="24"/>
        </w:rPr>
        <w:t>长江大学艺术学院拟对</w:t>
      </w:r>
      <w:r>
        <w:rPr>
          <w:rFonts w:hint="eastAsia" w:ascii="宋体"/>
          <w:sz w:val="24"/>
        </w:rPr>
        <w:t>“</w:t>
      </w:r>
      <w:r>
        <w:rPr>
          <w:rFonts w:hint="eastAsia" w:ascii="宋体" w:hAnsi="宋体"/>
          <w:sz w:val="24"/>
        </w:rPr>
        <w:t>长江大学“长江之声”合唱团原创音乐制作服务”项目进行采购。欢迎满足资格要求的相关单位前来参加，具体事宜公告如下：</w:t>
      </w:r>
    </w:p>
    <w:p>
      <w:pPr>
        <w:spacing w:line="360" w:lineRule="auto"/>
        <w:ind w:firstLine="480" w:firstLineChars="200"/>
        <w:rPr>
          <w:rFonts w:ascii="宋体"/>
          <w:sz w:val="24"/>
        </w:rPr>
      </w:pPr>
      <w:r>
        <w:rPr>
          <w:rFonts w:hint="eastAsia" w:ascii="宋体" w:hAnsi="宋体"/>
          <w:sz w:val="24"/>
        </w:rPr>
        <w:t>一、采购项目编号：</w:t>
      </w:r>
      <w:r>
        <w:rPr>
          <w:rFonts w:ascii="宋体" w:hAnsi="宋体"/>
          <w:sz w:val="24"/>
        </w:rPr>
        <w:t>CDCG2017-059</w:t>
      </w:r>
    </w:p>
    <w:p>
      <w:pPr>
        <w:spacing w:line="360" w:lineRule="auto"/>
        <w:ind w:firstLine="480" w:firstLineChars="200"/>
        <w:rPr>
          <w:rFonts w:ascii="宋体"/>
          <w:sz w:val="24"/>
        </w:rPr>
      </w:pPr>
      <w:r>
        <w:rPr>
          <w:rFonts w:hint="eastAsia" w:ascii="宋体" w:hAnsi="宋体"/>
          <w:sz w:val="24"/>
        </w:rPr>
        <w:t>二、采购项目名称：长江大学“长江之声”合唱团原创音乐制作服务</w:t>
      </w:r>
    </w:p>
    <w:p>
      <w:pPr>
        <w:spacing w:line="360" w:lineRule="auto"/>
        <w:ind w:firstLine="480" w:firstLineChars="200"/>
        <w:rPr>
          <w:rFonts w:ascii="宋体"/>
          <w:sz w:val="24"/>
        </w:rPr>
      </w:pPr>
      <w:r>
        <w:rPr>
          <w:rFonts w:hint="eastAsia" w:ascii="宋体" w:hAnsi="宋体"/>
          <w:sz w:val="24"/>
        </w:rPr>
        <w:t>三、采购方式：竞争性磋商</w:t>
      </w:r>
    </w:p>
    <w:p>
      <w:pPr>
        <w:spacing w:line="360" w:lineRule="auto"/>
        <w:ind w:firstLine="480" w:firstLineChars="200"/>
        <w:rPr>
          <w:rFonts w:ascii="宋体"/>
          <w:sz w:val="24"/>
        </w:rPr>
      </w:pPr>
      <w:r>
        <w:rPr>
          <w:rFonts w:hint="eastAsia" w:ascii="宋体" w:hAnsi="宋体"/>
          <w:sz w:val="24"/>
        </w:rPr>
        <w:t>四、采购内容：（预算金额：</w:t>
      </w:r>
      <w:r>
        <w:rPr>
          <w:rFonts w:ascii="宋体" w:hAnsi="宋体"/>
          <w:sz w:val="24"/>
        </w:rPr>
        <w:t>1.05</w:t>
      </w:r>
      <w:r>
        <w:rPr>
          <w:rFonts w:hint="eastAsia" w:ascii="宋体" w:hAnsi="宋体"/>
          <w:sz w:val="24"/>
        </w:rPr>
        <w:t>万元）</w:t>
      </w:r>
    </w:p>
    <w:p>
      <w:pPr>
        <w:spacing w:line="360" w:lineRule="auto"/>
        <w:ind w:firstLine="480" w:firstLineChars="200"/>
        <w:rPr>
          <w:rFonts w:ascii="宋体"/>
          <w:sz w:val="24"/>
        </w:rPr>
      </w:pPr>
      <w:r>
        <w:rPr>
          <w:rFonts w:hint="eastAsia" w:ascii="宋体" w:hAnsi="宋体"/>
          <w:sz w:val="24"/>
        </w:rPr>
        <w:t>“长江之声”合唱团原创音乐制作</w:t>
      </w:r>
      <w:r>
        <w:rPr>
          <w:rFonts w:hint="eastAsia" w:ascii="宋体" w:hAnsi="宋体" w:cs="宋体"/>
          <w:kern w:val="0"/>
          <w:sz w:val="24"/>
        </w:rPr>
        <w:t>。</w:t>
      </w:r>
    </w:p>
    <w:p>
      <w:pPr>
        <w:spacing w:line="360" w:lineRule="auto"/>
        <w:ind w:firstLine="480" w:firstLineChars="200"/>
        <w:rPr>
          <w:rFonts w:ascii="宋体"/>
          <w:sz w:val="24"/>
        </w:rPr>
      </w:pPr>
      <w:r>
        <w:rPr>
          <w:rFonts w:hint="eastAsia" w:ascii="宋体" w:hAnsi="宋体"/>
          <w:sz w:val="24"/>
        </w:rPr>
        <w:t>五、资质要求：</w:t>
      </w:r>
    </w:p>
    <w:p>
      <w:pPr>
        <w:spacing w:line="440" w:lineRule="exact"/>
        <w:ind w:firstLine="540"/>
        <w:rPr>
          <w:rFonts w:ascii="宋体"/>
          <w:sz w:val="24"/>
        </w:rPr>
      </w:pPr>
      <w:r>
        <w:rPr>
          <w:rFonts w:ascii="宋体" w:hAnsi="宋体"/>
          <w:sz w:val="24"/>
        </w:rPr>
        <w:t>1</w:t>
      </w:r>
      <w:r>
        <w:rPr>
          <w:rFonts w:hint="eastAsia" w:ascii="宋体" w:hAnsi="宋体"/>
          <w:sz w:val="24"/>
        </w:rPr>
        <w:t>、投标人应具备《政府采购法》第二十二条规定的条件，且是中华人民共和国境内注册并取得营业执照的独立法人或其他组织，具有独立法人资格及相应经营范围；</w:t>
      </w:r>
    </w:p>
    <w:p>
      <w:pPr>
        <w:spacing w:line="440" w:lineRule="exact"/>
        <w:ind w:firstLine="540"/>
        <w:rPr>
          <w:rFonts w:ascii="宋体"/>
          <w:sz w:val="24"/>
        </w:rPr>
      </w:pPr>
      <w:r>
        <w:rPr>
          <w:rFonts w:ascii="宋体" w:hAnsi="宋体"/>
          <w:sz w:val="24"/>
        </w:rPr>
        <w:t>2</w:t>
      </w:r>
      <w:r>
        <w:rPr>
          <w:rFonts w:hint="eastAsia" w:ascii="宋体" w:hAnsi="宋体"/>
          <w:sz w:val="24"/>
        </w:rPr>
        <w:t>、投标人在“信用中国”（</w:t>
      </w:r>
      <w:r>
        <w:rPr>
          <w:rFonts w:ascii="宋体" w:hAnsi="宋体"/>
          <w:sz w:val="24"/>
        </w:rPr>
        <w:t>www.creditchina.gov.cn</w:t>
      </w:r>
      <w:r>
        <w:rPr>
          <w:rFonts w:hint="eastAsia" w:ascii="宋体" w:hAnsi="宋体"/>
          <w:sz w:val="24"/>
        </w:rPr>
        <w:t>）网站中未被列入失信被执行人、重大税收违法案件当事人名单、政府采购严重违法失信行为记录名单；</w:t>
      </w:r>
    </w:p>
    <w:p>
      <w:pPr>
        <w:spacing w:line="440" w:lineRule="exact"/>
        <w:ind w:firstLine="540"/>
        <w:rPr>
          <w:rFonts w:ascii="宋体"/>
          <w:sz w:val="24"/>
        </w:rPr>
      </w:pPr>
      <w:r>
        <w:rPr>
          <w:rFonts w:ascii="宋体" w:hAnsi="宋体"/>
          <w:sz w:val="24"/>
        </w:rPr>
        <w:t>3</w:t>
      </w:r>
      <w:r>
        <w:rPr>
          <w:rFonts w:hint="eastAsia" w:ascii="宋体" w:hAnsi="宋体"/>
          <w:sz w:val="24"/>
        </w:rPr>
        <w:t>、本项目不接受联合体投标；</w:t>
      </w:r>
    </w:p>
    <w:p>
      <w:pPr>
        <w:spacing w:line="360" w:lineRule="auto"/>
        <w:ind w:firstLine="480" w:firstLineChars="200"/>
        <w:rPr>
          <w:rFonts w:ascii="宋体"/>
          <w:sz w:val="24"/>
        </w:rPr>
      </w:pPr>
      <w:r>
        <w:rPr>
          <w:rFonts w:hint="eastAsia" w:ascii="宋体" w:hAnsi="宋体"/>
          <w:sz w:val="24"/>
        </w:rPr>
        <w:t>六、竞争性磋商文件的领取：</w:t>
      </w:r>
    </w:p>
    <w:p>
      <w:pPr>
        <w:spacing w:line="360" w:lineRule="auto"/>
        <w:ind w:firstLine="496" w:firstLineChars="207"/>
        <w:rPr>
          <w:rFonts w:asci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sz w:val="24"/>
        </w:rPr>
      </w:pPr>
      <w:r>
        <w:rPr>
          <w:rFonts w:hint="eastAsia" w:ascii="宋体" w:hAnsi="宋体"/>
          <w:sz w:val="24"/>
        </w:rPr>
        <w:t>报名时间：</w:t>
      </w:r>
      <w:r>
        <w:rPr>
          <w:rFonts w:ascii="宋体" w:hAnsi="宋体"/>
          <w:sz w:val="24"/>
        </w:rPr>
        <w:t>2017</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19</w:t>
      </w:r>
      <w:r>
        <w:rPr>
          <w:rFonts w:hint="eastAsia" w:ascii="宋体" w:hAnsi="宋体"/>
          <w:sz w:val="24"/>
        </w:rPr>
        <w:t>日至</w:t>
      </w:r>
      <w:r>
        <w:rPr>
          <w:rFonts w:ascii="宋体" w:hAnsi="宋体"/>
          <w:sz w:val="24"/>
        </w:rPr>
        <w:t>2017</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26</w:t>
      </w:r>
      <w:r>
        <w:rPr>
          <w:rFonts w:hint="eastAsia" w:ascii="宋体" w:hAnsi="宋体"/>
          <w:sz w:val="24"/>
        </w:rPr>
        <w:t>日每天上午</w:t>
      </w:r>
      <w:r>
        <w:rPr>
          <w:rFonts w:ascii="宋体" w:hAnsi="宋体"/>
          <w:sz w:val="24"/>
        </w:rPr>
        <w:t>9:00</w:t>
      </w:r>
      <w:r>
        <w:rPr>
          <w:rFonts w:hint="eastAsia" w:ascii="宋体" w:hAnsi="宋体"/>
          <w:sz w:val="24"/>
        </w:rPr>
        <w:t>时至</w:t>
      </w:r>
      <w:r>
        <w:rPr>
          <w:rFonts w:ascii="宋体" w:hAnsi="宋体"/>
          <w:sz w:val="24"/>
        </w:rPr>
        <w:t>11</w:t>
      </w:r>
      <w:r>
        <w:rPr>
          <w:rFonts w:hint="eastAsia" w:ascii="宋体" w:hAnsi="宋体"/>
          <w:sz w:val="24"/>
        </w:rPr>
        <w:t>：</w:t>
      </w:r>
      <w:r>
        <w:rPr>
          <w:rFonts w:ascii="宋体"/>
          <w:sz w:val="24"/>
        </w:rPr>
        <w:t>00</w:t>
      </w:r>
      <w:r>
        <w:rPr>
          <w:rFonts w:hint="eastAsia" w:ascii="宋体" w:hAnsi="宋体"/>
          <w:sz w:val="24"/>
        </w:rPr>
        <w:t>，下午</w:t>
      </w:r>
      <w:r>
        <w:rPr>
          <w:rFonts w:ascii="宋体" w:hAnsi="宋体"/>
          <w:sz w:val="24"/>
        </w:rPr>
        <w:t>14:00</w:t>
      </w:r>
      <w:r>
        <w:rPr>
          <w:rFonts w:hint="eastAsia" w:ascii="宋体" w:hAnsi="宋体"/>
          <w:sz w:val="24"/>
        </w:rPr>
        <w:t>至</w:t>
      </w:r>
      <w:r>
        <w:rPr>
          <w:rFonts w:ascii="宋体" w:hAnsi="宋体"/>
          <w:sz w:val="24"/>
        </w:rPr>
        <w:t>17:00</w:t>
      </w:r>
      <w:r>
        <w:rPr>
          <w:rFonts w:hint="eastAsia" w:ascii="宋体" w:hAnsi="宋体"/>
          <w:sz w:val="24"/>
        </w:rPr>
        <w:t>时（法定节假日除外）</w:t>
      </w:r>
    </w:p>
    <w:p>
      <w:pPr>
        <w:spacing w:line="360" w:lineRule="auto"/>
        <w:ind w:firstLine="496" w:firstLineChars="207"/>
        <w:rPr>
          <w:rFonts w:ascii="宋体"/>
          <w:sz w:val="24"/>
        </w:rPr>
      </w:pPr>
      <w:r>
        <w:rPr>
          <w:rFonts w:hint="eastAsia" w:ascii="宋体" w:hAnsi="宋体"/>
          <w:sz w:val="24"/>
        </w:rPr>
        <w:t>地　点：长江大学艺术学院音乐系</w:t>
      </w:r>
    </w:p>
    <w:p>
      <w:pPr>
        <w:spacing w:line="360" w:lineRule="auto"/>
        <w:ind w:firstLine="496" w:firstLineChars="207"/>
        <w:rPr>
          <w:rFonts w:ascii="宋体"/>
          <w:sz w:val="24"/>
        </w:rPr>
      </w:pPr>
      <w:r>
        <w:rPr>
          <w:rFonts w:hint="eastAsia" w:ascii="宋体" w:hAnsi="宋体"/>
          <w:sz w:val="24"/>
        </w:rPr>
        <w:t>联系人：傅老师</w:t>
      </w:r>
      <w:r>
        <w:rPr>
          <w:rFonts w:ascii="宋体" w:hAnsi="宋体"/>
          <w:sz w:val="24"/>
        </w:rPr>
        <w:t xml:space="preserve">               </w:t>
      </w:r>
      <w:r>
        <w:rPr>
          <w:rFonts w:hint="eastAsia" w:ascii="宋体" w:hAnsi="宋体"/>
          <w:sz w:val="24"/>
        </w:rPr>
        <w:t>电话：</w:t>
      </w:r>
      <w:r>
        <w:rPr>
          <w:rFonts w:ascii="宋体" w:hAnsi="宋体"/>
          <w:sz w:val="24"/>
        </w:rPr>
        <w:t>18972364045</w:t>
      </w:r>
    </w:p>
    <w:p>
      <w:pPr>
        <w:spacing w:line="360" w:lineRule="auto"/>
        <w:ind w:firstLine="480" w:firstLineChars="200"/>
        <w:rPr>
          <w:rFonts w:ascii="宋体"/>
          <w:sz w:val="24"/>
        </w:rPr>
      </w:pPr>
      <w:r>
        <w:rPr>
          <w:rFonts w:hint="eastAsia" w:ascii="宋体" w:hAnsi="宋体"/>
          <w:sz w:val="24"/>
        </w:rPr>
        <w:t>七、竞争性磋商文件的递交：</w:t>
      </w:r>
    </w:p>
    <w:p>
      <w:pPr>
        <w:spacing w:line="360" w:lineRule="auto"/>
        <w:ind w:firstLine="496" w:firstLineChars="207"/>
        <w:rPr>
          <w:rFonts w:ascii="宋体"/>
          <w:sz w:val="24"/>
        </w:rPr>
      </w:pPr>
      <w:r>
        <w:rPr>
          <w:rFonts w:hint="eastAsia" w:ascii="宋体" w:hAnsi="宋体"/>
          <w:sz w:val="24"/>
        </w:rPr>
        <w:t>竞争性磋商文件递交时间：</w:t>
      </w:r>
      <w:r>
        <w:rPr>
          <w:rFonts w:ascii="宋体" w:hAnsi="宋体"/>
          <w:sz w:val="24"/>
        </w:rPr>
        <w:t>2017</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28</w:t>
      </w:r>
      <w:r>
        <w:rPr>
          <w:rFonts w:hint="eastAsia" w:ascii="宋体" w:hAnsi="宋体"/>
          <w:sz w:val="24"/>
        </w:rPr>
        <w:t>日上午</w:t>
      </w:r>
      <w:r>
        <w:rPr>
          <w:rFonts w:ascii="宋体" w:hAnsi="宋体"/>
          <w:sz w:val="24"/>
        </w:rPr>
        <w:t>9:</w:t>
      </w:r>
      <w:r>
        <w:rPr>
          <w:rFonts w:ascii="宋体"/>
          <w:sz w:val="24"/>
        </w:rPr>
        <w:t>00</w:t>
      </w:r>
      <w:r>
        <w:rPr>
          <w:rFonts w:hint="eastAsia" w:ascii="宋体" w:hAnsi="宋体"/>
          <w:sz w:val="24"/>
        </w:rPr>
        <w:t>至</w:t>
      </w:r>
      <w:r>
        <w:rPr>
          <w:rFonts w:ascii="宋体" w:hAnsi="宋体"/>
          <w:sz w:val="24"/>
        </w:rPr>
        <w:t>9</w:t>
      </w:r>
      <w:r>
        <w:rPr>
          <w:rFonts w:hint="eastAsia" w:ascii="宋体" w:hAnsi="宋体"/>
          <w:sz w:val="24"/>
        </w:rPr>
        <w:t>：</w:t>
      </w:r>
      <w:r>
        <w:rPr>
          <w:rFonts w:ascii="宋体" w:hAnsi="宋体"/>
          <w:sz w:val="24"/>
        </w:rPr>
        <w:t>30</w:t>
      </w:r>
      <w:r>
        <w:rPr>
          <w:rFonts w:hint="eastAsia" w:ascii="宋体" w:hAnsi="宋体"/>
          <w:sz w:val="24"/>
        </w:rPr>
        <w:t>分，逾期不受理投标（磋商文件必须胶装、不留活页，密封投递）。</w:t>
      </w:r>
    </w:p>
    <w:p>
      <w:pPr>
        <w:spacing w:line="360" w:lineRule="auto"/>
        <w:ind w:firstLine="496" w:firstLineChars="207"/>
        <w:rPr>
          <w:rFonts w:ascii="宋体"/>
          <w:sz w:val="24"/>
        </w:rPr>
      </w:pPr>
      <w:r>
        <w:rPr>
          <w:rFonts w:hint="eastAsia" w:ascii="宋体" w:hAnsi="宋体"/>
          <w:sz w:val="24"/>
        </w:rPr>
        <w:t>竞争性磋商文件递交地点：长江大学艺术学院音乐系</w:t>
      </w:r>
    </w:p>
    <w:p>
      <w:pPr>
        <w:spacing w:line="360" w:lineRule="auto"/>
        <w:ind w:firstLine="480" w:firstLineChars="200"/>
        <w:rPr>
          <w:rFonts w:ascii="宋体" w:cs="宋体"/>
          <w:sz w:val="24"/>
        </w:rPr>
      </w:pPr>
      <w:r>
        <w:rPr>
          <w:rFonts w:hint="eastAsia" w:ascii="宋体" w:hAnsi="宋体" w:cs="宋体"/>
          <w:sz w:val="24"/>
        </w:rPr>
        <w:t>八、本项目已进入采购程序，如对询价公告及文件有疑异，请向</w:t>
      </w:r>
      <w:r>
        <w:rPr>
          <w:rFonts w:hint="eastAsia" w:ascii="宋体" w:hAnsi="宋体"/>
          <w:sz w:val="24"/>
        </w:rPr>
        <w:t>长江大学采购与招投标管理处</w:t>
      </w:r>
      <w:r>
        <w:rPr>
          <w:rFonts w:hint="eastAsia" w:ascii="宋体" w:hAnsi="宋体" w:cs="宋体"/>
          <w:sz w:val="24"/>
        </w:rPr>
        <w:t>质疑。如质疑答复不满意，在答复期满后</w:t>
      </w:r>
      <w:r>
        <w:rPr>
          <w:rFonts w:ascii="宋体" w:hAnsi="宋体" w:cs="宋体"/>
          <w:sz w:val="24"/>
        </w:rPr>
        <w:t>3</w:t>
      </w:r>
      <w:r>
        <w:rPr>
          <w:rFonts w:hint="eastAsia" w:ascii="宋体" w:hAnsi="宋体" w:cs="宋体"/>
          <w:sz w:val="24"/>
        </w:rPr>
        <w:t>个工作日内向长江大学纪委办公室提起投诉。</w:t>
      </w:r>
    </w:p>
    <w:p>
      <w:pPr>
        <w:spacing w:line="360" w:lineRule="auto"/>
        <w:ind w:firstLine="480" w:firstLineChars="200"/>
        <w:rPr>
          <w:rFonts w:asci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长江大学艺术学院音乐系</w:t>
      </w:r>
    </w:p>
    <w:p>
      <w:pPr>
        <w:spacing w:line="360" w:lineRule="auto"/>
        <w:ind w:firstLine="496" w:firstLineChars="207"/>
        <w:rPr>
          <w:rFonts w:ascii="宋体"/>
          <w:sz w:val="24"/>
        </w:rPr>
      </w:pPr>
      <w:r>
        <w:rPr>
          <w:rFonts w:hint="eastAsia" w:ascii="宋体" w:hAnsi="宋体"/>
          <w:sz w:val="24"/>
        </w:rPr>
        <w:t>联系人：傅老师</w:t>
      </w:r>
    </w:p>
    <w:p>
      <w:pPr>
        <w:spacing w:line="360" w:lineRule="auto"/>
        <w:ind w:firstLine="480" w:firstLineChars="200"/>
        <w:rPr>
          <w:rFonts w:ascii="宋体"/>
          <w:sz w:val="24"/>
        </w:rPr>
      </w:pPr>
      <w:r>
        <w:rPr>
          <w:rFonts w:hint="eastAsia" w:ascii="宋体" w:hAnsi="宋体"/>
          <w:sz w:val="24"/>
        </w:rPr>
        <w:t>电话：</w:t>
      </w:r>
      <w:r>
        <w:rPr>
          <w:rFonts w:ascii="宋体" w:hAnsi="宋体"/>
          <w:sz w:val="24"/>
        </w:rPr>
        <w:t>18972364045</w:t>
      </w:r>
    </w:p>
    <w:p>
      <w:pPr>
        <w:spacing w:line="360" w:lineRule="auto"/>
        <w:ind w:firstLine="480" w:firstLineChars="200"/>
        <w:rPr>
          <w:rFonts w:ascii="宋体"/>
          <w:sz w:val="24"/>
        </w:rPr>
      </w:pPr>
    </w:p>
    <w:p>
      <w:pPr>
        <w:spacing w:line="360" w:lineRule="auto"/>
        <w:ind w:right="480" w:firstLine="496" w:firstLineChars="207"/>
        <w:jc w:val="center"/>
        <w:rPr>
          <w:rFonts w:hint="eastAsia" w:ascii="宋体" w:hAnsi="宋体"/>
          <w:sz w:val="24"/>
        </w:rPr>
      </w:pPr>
      <w:r>
        <w:rPr>
          <w:rFonts w:ascii="宋体" w:hAnsi="宋体"/>
          <w:sz w:val="24"/>
        </w:rPr>
        <w:t xml:space="preserve">                       </w:t>
      </w:r>
      <w:r>
        <w:rPr>
          <w:rFonts w:hint="eastAsia" w:ascii="宋体" w:hAnsi="宋体"/>
          <w:sz w:val="24"/>
        </w:rPr>
        <w:t>长江大学采购与招投标管理处</w:t>
      </w:r>
      <w:bookmarkStart w:id="9" w:name="_GoBack"/>
      <w:bookmarkEnd w:id="9"/>
    </w:p>
    <w:p>
      <w:pPr>
        <w:pStyle w:val="2"/>
        <w:spacing w:before="0" w:line="360" w:lineRule="auto"/>
        <w:jc w:val="center"/>
        <w:rPr>
          <w:rFonts w:ascii="宋体"/>
          <w:sz w:val="24"/>
        </w:rPr>
      </w:pPr>
      <w:r>
        <w:rPr>
          <w:rFonts w:ascii="宋体" w:hAnsi="宋体"/>
          <w:b w:val="0"/>
          <w:bCs w:val="0"/>
          <w:sz w:val="24"/>
        </w:rPr>
        <w:t xml:space="preserve">                      2017</w:t>
      </w:r>
      <w:r>
        <w:rPr>
          <w:rFonts w:hint="eastAsia" w:ascii="宋体" w:hAnsi="宋体"/>
          <w:b w:val="0"/>
          <w:bCs w:val="0"/>
          <w:sz w:val="24"/>
        </w:rPr>
        <w:t>年</w:t>
      </w:r>
      <w:r>
        <w:rPr>
          <w:rFonts w:ascii="宋体" w:hAnsi="宋体"/>
          <w:b w:val="0"/>
          <w:bCs w:val="0"/>
          <w:sz w:val="24"/>
        </w:rPr>
        <w:t>9</w:t>
      </w:r>
      <w:r>
        <w:rPr>
          <w:rFonts w:hint="eastAsia" w:ascii="宋体" w:hAnsi="宋体"/>
          <w:b w:val="0"/>
          <w:bCs w:val="0"/>
          <w:sz w:val="24"/>
        </w:rPr>
        <w:t>月</w:t>
      </w:r>
      <w:r>
        <w:rPr>
          <w:rFonts w:ascii="宋体" w:hAnsi="宋体"/>
          <w:b w:val="0"/>
          <w:bCs w:val="0"/>
          <w:sz w:val="24"/>
        </w:rPr>
        <w:t>18</w:t>
      </w:r>
      <w:r>
        <w:rPr>
          <w:rFonts w:hint="eastAsia" w:ascii="宋体" w:hAnsi="宋体"/>
          <w:b w:val="0"/>
          <w:bCs w:val="0"/>
          <w:sz w:val="24"/>
        </w:rPr>
        <w:t>日</w:t>
      </w:r>
    </w:p>
    <w:p>
      <w:pPr>
        <w:pStyle w:val="2"/>
        <w:spacing w:before="0" w:line="360" w:lineRule="auto"/>
        <w:jc w:val="center"/>
        <w:rPr>
          <w:rFonts w:ascii="宋体"/>
          <w:sz w:val="24"/>
        </w:rPr>
      </w:pPr>
    </w:p>
    <w:p>
      <w:pPr>
        <w:pStyle w:val="2"/>
        <w:spacing w:before="0" w:line="360" w:lineRule="auto"/>
        <w:jc w:val="center"/>
        <w:rPr>
          <w:rFonts w:ascii="宋体"/>
          <w:sz w:val="24"/>
        </w:rPr>
      </w:pPr>
    </w:p>
    <w:p>
      <w:pPr>
        <w:pStyle w:val="2"/>
        <w:spacing w:before="0" w:line="360" w:lineRule="auto"/>
        <w:jc w:val="center"/>
        <w:rPr>
          <w:rFonts w:ascii="宋体"/>
          <w:sz w:val="24"/>
        </w:rPr>
      </w:pPr>
    </w:p>
    <w:p>
      <w:pPr>
        <w:pStyle w:val="2"/>
        <w:spacing w:before="0" w:line="360" w:lineRule="auto"/>
        <w:jc w:val="cente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2"/>
        <w:spacing w:before="0" w:line="360" w:lineRule="auto"/>
        <w:rPr>
          <w:rFonts w:ascii="宋体"/>
          <w:sz w:val="24"/>
        </w:rPr>
      </w:pPr>
    </w:p>
    <w:p/>
    <w:p>
      <w:pPr>
        <w:pStyle w:val="2"/>
        <w:spacing w:before="0" w:line="360" w:lineRule="auto"/>
        <w:jc w:val="center"/>
        <w:rPr>
          <w:rFonts w:ascii="宋体"/>
          <w:sz w:val="32"/>
          <w:szCs w:val="32"/>
        </w:rPr>
      </w:pPr>
      <w:r>
        <w:rPr>
          <w:rFonts w:hint="eastAsia" w:ascii="宋体" w:hAnsi="宋体"/>
          <w:sz w:val="32"/>
          <w:szCs w:val="32"/>
        </w:rPr>
        <w:t>第二章</w:t>
      </w:r>
      <w:bookmarkStart w:id="0" w:name="_Toc229456846"/>
      <w:r>
        <w:rPr>
          <w:rFonts w:ascii="宋体" w:hAnsi="宋体"/>
          <w:sz w:val="32"/>
          <w:szCs w:val="32"/>
        </w:rPr>
        <w:t xml:space="preserve"> </w:t>
      </w:r>
      <w:r>
        <w:rPr>
          <w:rFonts w:hint="eastAsia" w:ascii="宋体" w:hAnsi="宋体"/>
          <w:sz w:val="32"/>
          <w:szCs w:val="32"/>
        </w:rPr>
        <w:t>技术服务、商务要求</w:t>
      </w:r>
    </w:p>
    <w:bookmarkEnd w:id="0"/>
    <w:p>
      <w:pPr>
        <w:spacing w:line="460" w:lineRule="exact"/>
        <w:rPr>
          <w:rFonts w:ascii="宋体"/>
          <w:b/>
          <w:sz w:val="30"/>
          <w:szCs w:val="30"/>
        </w:rPr>
      </w:pPr>
      <w:bookmarkStart w:id="1" w:name="_Toc175733110"/>
      <w:r>
        <w:rPr>
          <w:rFonts w:ascii="仿宋" w:hAnsi="仿宋" w:eastAsia="仿宋"/>
          <w:b/>
        </w:rPr>
        <w:t>(</w:t>
      </w:r>
      <w:r>
        <w:rPr>
          <w:rFonts w:hint="eastAsia" w:ascii="仿宋" w:hAnsi="仿宋" w:eastAsia="仿宋"/>
          <w:b/>
        </w:rPr>
        <w:t>注：本章要求均为强制要求，即必须满足或优于该要求。投标人必须对以下逐条要求进行响应描述或偏离说明，否则其投标将被视为无效投标。</w:t>
      </w:r>
      <w:r>
        <w:rPr>
          <w:rFonts w:ascii="仿宋" w:hAnsi="仿宋" w:eastAsia="仿宋"/>
          <w:b/>
        </w:rPr>
        <w:t>)</w:t>
      </w:r>
    </w:p>
    <w:p>
      <w:pPr>
        <w:pStyle w:val="50"/>
        <w:keepNext/>
        <w:keepLines/>
        <w:numPr>
          <w:ilvl w:val="0"/>
          <w:numId w:val="1"/>
        </w:numPr>
        <w:autoSpaceDE w:val="0"/>
        <w:autoSpaceDN w:val="0"/>
        <w:adjustRightInd w:val="0"/>
        <w:spacing w:before="260" w:after="260" w:line="540" w:lineRule="exact"/>
        <w:ind w:firstLineChars="0"/>
        <w:outlineLvl w:val="1"/>
        <w:rPr>
          <w:rFonts w:ascii="宋体" w:cs="Arial"/>
          <w:b/>
          <w:bCs/>
          <w:kern w:val="0"/>
          <w:sz w:val="24"/>
        </w:rPr>
      </w:pPr>
      <w:bookmarkStart w:id="2" w:name="_Toc451267972"/>
      <w:r>
        <w:rPr>
          <w:rFonts w:hint="eastAsia" w:ascii="宋体" w:hAnsi="宋体" w:cs="Arial"/>
          <w:b/>
          <w:bCs/>
          <w:kern w:val="0"/>
          <w:sz w:val="24"/>
        </w:rPr>
        <w:t>项目概况</w:t>
      </w:r>
      <w:bookmarkEnd w:id="2"/>
    </w:p>
    <w:p>
      <w:pPr>
        <w:keepNext/>
        <w:keepLines/>
        <w:autoSpaceDE w:val="0"/>
        <w:autoSpaceDN w:val="0"/>
        <w:adjustRightInd w:val="0"/>
        <w:spacing w:before="260" w:after="260" w:line="540" w:lineRule="exact"/>
        <w:ind w:left="420" w:leftChars="200" w:firstLine="480" w:firstLineChars="200"/>
        <w:outlineLvl w:val="1"/>
        <w:rPr>
          <w:rFonts w:ascii="宋体" w:cs="Arial"/>
          <w:bCs/>
          <w:kern w:val="0"/>
          <w:sz w:val="24"/>
        </w:rPr>
      </w:pPr>
      <w:r>
        <w:rPr>
          <w:rFonts w:hint="eastAsia" w:ascii="宋体" w:hAnsi="宋体" w:cs="Arial"/>
          <w:bCs/>
          <w:kern w:val="0"/>
          <w:sz w:val="24"/>
        </w:rPr>
        <w:t>本项目为长江大学“长江之声”合唱团原创音乐制作，包括作词、编曲、棚租、录音、伴唱、混音等内容，要求从招标人提供的备选名单中选取相关人士参与创作。</w:t>
      </w:r>
    </w:p>
    <w:p>
      <w:pPr>
        <w:keepNext/>
        <w:keepLines/>
        <w:autoSpaceDE w:val="0"/>
        <w:autoSpaceDN w:val="0"/>
        <w:adjustRightInd w:val="0"/>
        <w:spacing w:before="260" w:after="260" w:line="540" w:lineRule="exact"/>
        <w:ind w:left="420"/>
        <w:outlineLvl w:val="1"/>
        <w:rPr>
          <w:rFonts w:ascii="宋体" w:cs="Arial"/>
          <w:b/>
          <w:bCs/>
          <w:kern w:val="0"/>
          <w:sz w:val="24"/>
        </w:rPr>
      </w:pPr>
      <w:bookmarkStart w:id="3" w:name="_Toc451267973"/>
      <w:r>
        <w:rPr>
          <w:rFonts w:hint="eastAsia" w:ascii="宋体" w:hAnsi="宋体" w:cs="Arial"/>
          <w:b/>
          <w:bCs/>
          <w:kern w:val="0"/>
          <w:sz w:val="24"/>
        </w:rPr>
        <w:t>二、项目要求及说明</w:t>
      </w:r>
      <w:bookmarkEnd w:id="3"/>
    </w:p>
    <w:p>
      <w:pPr>
        <w:spacing w:line="520" w:lineRule="exact"/>
        <w:ind w:firstLine="482" w:firstLineChars="200"/>
        <w:jc w:val="left"/>
        <w:rPr>
          <w:rFonts w:ascii="宋体"/>
          <w:b/>
          <w:sz w:val="24"/>
        </w:rPr>
      </w:pPr>
      <w:r>
        <w:rPr>
          <w:rFonts w:ascii="宋体" w:hAnsi="宋体"/>
          <w:b/>
          <w:sz w:val="24"/>
        </w:rPr>
        <w:t xml:space="preserve">1. </w:t>
      </w:r>
      <w:r>
        <w:rPr>
          <w:rFonts w:hint="eastAsia" w:ascii="宋体" w:hAnsi="宋体"/>
          <w:b/>
          <w:sz w:val="24"/>
        </w:rPr>
        <w:t>工期要求</w:t>
      </w:r>
    </w:p>
    <w:p>
      <w:pPr>
        <w:spacing w:line="520" w:lineRule="exact"/>
        <w:ind w:firstLine="482" w:firstLineChars="200"/>
        <w:jc w:val="left"/>
        <w:rPr>
          <w:rFonts w:hint="eastAsia" w:ascii="宋体" w:eastAsia="宋体"/>
          <w:b/>
          <w:sz w:val="24"/>
          <w:lang w:val="en-US" w:eastAsia="zh-CN"/>
        </w:rPr>
      </w:pPr>
      <w:r>
        <w:rPr>
          <w:rFonts w:hint="eastAsia" w:ascii="宋体"/>
          <w:b/>
          <w:sz w:val="24"/>
          <w:lang w:val="en-US" w:eastAsia="zh-CN"/>
        </w:rPr>
        <w:t>合同签订后60天内完工。</w:t>
      </w:r>
    </w:p>
    <w:p>
      <w:pPr>
        <w:spacing w:line="520" w:lineRule="exact"/>
        <w:ind w:firstLine="482" w:firstLineChars="200"/>
        <w:jc w:val="left"/>
        <w:rPr>
          <w:rFonts w:ascii="宋体"/>
          <w:b/>
          <w:sz w:val="24"/>
        </w:rPr>
      </w:pPr>
      <w:r>
        <w:rPr>
          <w:rFonts w:ascii="宋体" w:hAnsi="宋体"/>
          <w:b/>
          <w:sz w:val="24"/>
        </w:rPr>
        <w:t xml:space="preserve">2. </w:t>
      </w:r>
      <w:r>
        <w:rPr>
          <w:rFonts w:hint="eastAsia" w:ascii="宋体" w:hAnsi="宋体"/>
          <w:b/>
          <w:sz w:val="24"/>
        </w:rPr>
        <w:t>实施要求</w:t>
      </w:r>
    </w:p>
    <w:tbl>
      <w:tblPr>
        <w:tblStyle w:val="23"/>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48"/>
        <w:gridCol w:w="5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708"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1448" w:type="dxa"/>
            <w:vAlign w:val="center"/>
          </w:tcPr>
          <w:p>
            <w:pPr>
              <w:widowControl/>
              <w:jc w:val="center"/>
              <w:rPr>
                <w:rFonts w:ascii="宋体" w:cs="宋体"/>
                <w:b/>
                <w:bCs/>
                <w:kern w:val="0"/>
                <w:szCs w:val="21"/>
              </w:rPr>
            </w:pPr>
            <w:r>
              <w:rPr>
                <w:rFonts w:hint="eastAsia" w:ascii="宋体" w:hAnsi="宋体" w:cs="宋体"/>
                <w:b/>
                <w:bCs/>
                <w:kern w:val="0"/>
                <w:szCs w:val="21"/>
              </w:rPr>
              <w:t>内容</w:t>
            </w:r>
          </w:p>
        </w:tc>
        <w:tc>
          <w:tcPr>
            <w:tcW w:w="5242" w:type="dxa"/>
            <w:vAlign w:val="center"/>
          </w:tcPr>
          <w:p>
            <w:pPr>
              <w:widowControl/>
              <w:jc w:val="center"/>
              <w:rPr>
                <w:rFonts w:ascii="宋体" w:cs="宋体"/>
                <w:b/>
                <w:bCs/>
                <w:kern w:val="0"/>
                <w:szCs w:val="21"/>
              </w:rPr>
            </w:pPr>
            <w:r>
              <w:rPr>
                <w:rFonts w:hint="eastAsia" w:ascii="宋体" w:hAnsi="宋体" w:cs="宋体"/>
                <w:b/>
                <w:bCs/>
                <w:kern w:val="0"/>
                <w:szCs w:val="21"/>
              </w:rPr>
              <w:t>专家备选库</w:t>
            </w:r>
          </w:p>
        </w:tc>
        <w:tc>
          <w:tcPr>
            <w:tcW w:w="1134" w:type="dxa"/>
            <w:vAlign w:val="center"/>
          </w:tcPr>
          <w:p>
            <w:pPr>
              <w:widowControl/>
              <w:jc w:val="center"/>
              <w:rPr>
                <w:rFonts w:asci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1</w:t>
            </w:r>
          </w:p>
        </w:tc>
        <w:tc>
          <w:tcPr>
            <w:tcW w:w="1448" w:type="dxa"/>
            <w:vAlign w:val="center"/>
          </w:tcPr>
          <w:p>
            <w:pPr>
              <w:widowControl/>
              <w:jc w:val="left"/>
              <w:rPr>
                <w:rFonts w:ascii="宋体" w:cs="宋体"/>
                <w:kern w:val="0"/>
                <w:szCs w:val="21"/>
              </w:rPr>
            </w:pPr>
            <w:r>
              <w:rPr>
                <w:rFonts w:hint="eastAsia" w:ascii="宋体" w:hAnsi="宋体" w:cs="宋体"/>
                <w:kern w:val="0"/>
                <w:szCs w:val="21"/>
              </w:rPr>
              <w:t>混声四部合唱编配</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（陈国权、曹冠玉、朱才勇、洪凯、万江峰等音乐人）</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2</w:t>
            </w:r>
          </w:p>
        </w:tc>
        <w:tc>
          <w:tcPr>
            <w:tcW w:w="1448" w:type="dxa"/>
            <w:vAlign w:val="center"/>
          </w:tcPr>
          <w:p>
            <w:pPr>
              <w:widowControl/>
              <w:jc w:val="left"/>
              <w:rPr>
                <w:rFonts w:ascii="宋体" w:cs="宋体"/>
                <w:kern w:val="0"/>
                <w:szCs w:val="21"/>
              </w:rPr>
            </w:pPr>
            <w:r>
              <w:rPr>
                <w:rFonts w:hint="eastAsia" w:ascii="宋体" w:hAnsi="宋体" w:cs="宋体"/>
                <w:szCs w:val="21"/>
              </w:rPr>
              <w:t>钢琴伴奏编配</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（陈国权、曹冠玉、朱才勇、洪凯、万江峰等音乐人）</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3</w:t>
            </w:r>
          </w:p>
        </w:tc>
        <w:tc>
          <w:tcPr>
            <w:tcW w:w="1448" w:type="dxa"/>
            <w:vAlign w:val="center"/>
          </w:tcPr>
          <w:p>
            <w:pPr>
              <w:widowControl/>
              <w:jc w:val="left"/>
              <w:rPr>
                <w:rFonts w:ascii="宋体" w:cs="宋体"/>
                <w:kern w:val="0"/>
                <w:szCs w:val="21"/>
              </w:rPr>
            </w:pPr>
            <w:r>
              <w:rPr>
                <w:rFonts w:hint="eastAsia" w:ascii="宋体" w:hAnsi="宋体" w:cs="宋体"/>
                <w:szCs w:val="21"/>
              </w:rPr>
              <w:t>录音、混音</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（任平、李晖、周杰等省内录音师、混音师）</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4</w:t>
            </w:r>
          </w:p>
        </w:tc>
        <w:tc>
          <w:tcPr>
            <w:tcW w:w="1448" w:type="dxa"/>
            <w:vAlign w:val="center"/>
          </w:tcPr>
          <w:p>
            <w:pPr>
              <w:widowControl/>
              <w:jc w:val="left"/>
              <w:rPr>
                <w:rFonts w:ascii="宋体" w:cs="宋体"/>
                <w:kern w:val="0"/>
                <w:szCs w:val="21"/>
              </w:rPr>
            </w:pPr>
            <w:r>
              <w:rPr>
                <w:rFonts w:hint="eastAsia" w:ascii="宋体" w:hAnsi="宋体" w:cs="宋体"/>
                <w:szCs w:val="21"/>
              </w:rPr>
              <w:t>棚租</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（市歌录音棚、省音协录音棚、省京剧院录音棚、王原平录音棚等）</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708" w:type="dxa"/>
            <w:vAlign w:val="center"/>
          </w:tcPr>
          <w:p>
            <w:pPr>
              <w:widowControl/>
              <w:jc w:val="center"/>
              <w:rPr>
                <w:rFonts w:ascii="宋体" w:cs="宋体"/>
                <w:kern w:val="0"/>
                <w:szCs w:val="21"/>
              </w:rPr>
            </w:pPr>
            <w:r>
              <w:rPr>
                <w:rFonts w:ascii="宋体" w:hAnsi="宋体" w:cs="宋体"/>
                <w:kern w:val="0"/>
                <w:szCs w:val="21"/>
              </w:rPr>
              <w:t>5</w:t>
            </w:r>
          </w:p>
        </w:tc>
        <w:tc>
          <w:tcPr>
            <w:tcW w:w="1448" w:type="dxa"/>
            <w:vAlign w:val="center"/>
          </w:tcPr>
          <w:p>
            <w:pPr>
              <w:widowControl/>
              <w:jc w:val="left"/>
              <w:rPr>
                <w:rFonts w:ascii="宋体" w:cs="宋体"/>
                <w:kern w:val="0"/>
                <w:szCs w:val="21"/>
              </w:rPr>
            </w:pPr>
            <w:r>
              <w:rPr>
                <w:rFonts w:hint="eastAsia" w:ascii="宋体" w:hAnsi="宋体" w:cs="宋体"/>
                <w:kern w:val="0"/>
                <w:szCs w:val="21"/>
              </w:rPr>
              <w:t>混音</w:t>
            </w:r>
          </w:p>
        </w:tc>
        <w:tc>
          <w:tcPr>
            <w:tcW w:w="5242" w:type="dxa"/>
            <w:vAlign w:val="center"/>
          </w:tcPr>
          <w:p>
            <w:pPr>
              <w:widowControl/>
              <w:spacing w:line="240" w:lineRule="atLeast"/>
              <w:jc w:val="left"/>
              <w:rPr>
                <w:rFonts w:ascii="宋体" w:cs="宋体"/>
                <w:szCs w:val="21"/>
              </w:rPr>
            </w:pPr>
            <w:r>
              <w:rPr>
                <w:rFonts w:hint="eastAsia" w:ascii="宋体" w:hAnsi="宋体" w:cs="宋体"/>
                <w:szCs w:val="21"/>
              </w:rPr>
              <w:t>国内一线混音师（省外：李大康、王磊等；省内：任平、李晖、周杰等）</w:t>
            </w:r>
          </w:p>
        </w:tc>
        <w:tc>
          <w:tcPr>
            <w:tcW w:w="1134" w:type="dxa"/>
            <w:vAlign w:val="center"/>
          </w:tcPr>
          <w:p>
            <w:pPr>
              <w:widowControl/>
              <w:jc w:val="center"/>
              <w:rPr>
                <w:rFonts w:ascii="宋体" w:cs="宋体"/>
                <w:kern w:val="0"/>
                <w:szCs w:val="21"/>
              </w:rPr>
            </w:pPr>
            <w:r>
              <w:rPr>
                <w:rFonts w:ascii="宋体" w:hAnsi="宋体" w:cs="宋体"/>
                <w:kern w:val="0"/>
                <w:szCs w:val="21"/>
              </w:rPr>
              <w:t>1</w:t>
            </w:r>
          </w:p>
        </w:tc>
      </w:tr>
    </w:tbl>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r>
        <w:rPr>
          <w:rFonts w:hint="eastAsia" w:ascii="宋体" w:hAnsi="宋体"/>
          <w:b/>
          <w:sz w:val="24"/>
        </w:rPr>
        <w:t>三、付款方式：</w:t>
      </w:r>
    </w:p>
    <w:p>
      <w:pPr>
        <w:spacing w:line="360" w:lineRule="auto"/>
        <w:ind w:firstLine="480" w:firstLineChars="200"/>
        <w:rPr>
          <w:rFonts w:ascii="宋体"/>
          <w:sz w:val="24"/>
        </w:rPr>
      </w:pPr>
      <w:r>
        <w:rPr>
          <w:rFonts w:hint="eastAsia"/>
          <w:sz w:val="24"/>
        </w:rPr>
        <w:t>合同完成后，经采购方验收合格，付给合同金额的</w:t>
      </w:r>
      <w:r>
        <w:rPr>
          <w:sz w:val="24"/>
        </w:rPr>
        <w:t>100%</w:t>
      </w:r>
      <w:r>
        <w:rPr>
          <w:rFonts w:hint="eastAsia"/>
          <w:sz w:val="24"/>
        </w:rPr>
        <w:t>，</w:t>
      </w:r>
    </w:p>
    <w:p>
      <w:pPr>
        <w:pStyle w:val="2"/>
        <w:spacing w:before="0" w:line="360" w:lineRule="auto"/>
        <w:jc w:val="center"/>
        <w:rPr>
          <w:rFonts w:ascii="宋体"/>
          <w:sz w:val="32"/>
          <w:szCs w:val="32"/>
        </w:rPr>
      </w:pPr>
    </w:p>
    <w:p>
      <w:pPr>
        <w:pStyle w:val="2"/>
        <w:spacing w:before="0" w:line="360" w:lineRule="auto"/>
        <w:jc w:val="center"/>
        <w:rPr>
          <w:rFonts w:ascii="宋体"/>
          <w:sz w:val="32"/>
          <w:szCs w:val="32"/>
        </w:rPr>
      </w:pP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竞争性磋商评审程序及评分标准</w:t>
      </w:r>
    </w:p>
    <w:p>
      <w:pPr>
        <w:spacing w:line="520" w:lineRule="exact"/>
        <w:ind w:firstLine="482" w:firstLineChars="200"/>
        <w:jc w:val="left"/>
        <w:rPr>
          <w:rFonts w:ascii="宋体"/>
          <w:b/>
          <w:sz w:val="24"/>
        </w:rPr>
      </w:pPr>
      <w:r>
        <w:rPr>
          <w:rFonts w:hint="eastAsia" w:ascii="宋体" w:hAnsi="宋体"/>
          <w:b/>
          <w:sz w:val="24"/>
        </w:rPr>
        <w:t>一、竞争性磋商评审程序</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、成立磋商小组。磋商小组由项目主管部门的代表、有关专家共三人以上的单数组成，其中专家的人数不少于三分之二。</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、磋商。磋商小组按已确定的磋商顺序，与单一投标人分别就符合采购项目需求、质量和服务等进行磋商，并了解其实施方案及报价情况。</w:t>
      </w:r>
    </w:p>
    <w:p>
      <w:pPr>
        <w:spacing w:line="360" w:lineRule="auto"/>
        <w:ind w:firstLine="480" w:firstLineChars="200"/>
        <w:jc w:val="left"/>
        <w:rPr>
          <w:rFonts w:ascii="宋体"/>
          <w:sz w:val="24"/>
        </w:rPr>
      </w:pPr>
      <w:r>
        <w:rPr>
          <w:rFonts w:ascii="新宋体" w:hAnsi="新宋体" w:eastAsia="新宋体"/>
          <w:sz w:val="24"/>
        </w:rPr>
        <w:t>3</w:t>
      </w:r>
      <w:r>
        <w:rPr>
          <w:rFonts w:hint="eastAsia" w:ascii="新宋体" w:hAnsi="新宋体" w:eastAsia="新宋体"/>
          <w:sz w:val="24"/>
        </w:rPr>
        <w:t>、</w:t>
      </w:r>
      <w:r>
        <w:rPr>
          <w:rFonts w:hint="eastAsia" w:ascii="宋体" w:hAnsi="宋体"/>
          <w:sz w:val="24"/>
        </w:rPr>
        <w:t>确定成交中标候选人。磋商结束后，磋商小组要求所有参加磋商的投标人在规定时间内进行最后报价。磋商小组根据评分标准综合评定，确定中标候选人的排序。</w:t>
      </w:r>
    </w:p>
    <w:p>
      <w:pPr>
        <w:spacing w:line="520" w:lineRule="exact"/>
        <w:ind w:firstLine="482" w:firstLineChars="200"/>
        <w:jc w:val="left"/>
        <w:rPr>
          <w:rFonts w:ascii="宋体"/>
          <w:b/>
          <w:sz w:val="24"/>
        </w:rPr>
      </w:pPr>
    </w:p>
    <w:p>
      <w:pPr>
        <w:spacing w:line="520" w:lineRule="exact"/>
        <w:ind w:firstLine="482" w:firstLineChars="200"/>
        <w:jc w:val="left"/>
        <w:rPr>
          <w:rFonts w:ascii="宋体"/>
          <w:b/>
          <w:sz w:val="24"/>
        </w:rPr>
      </w:pPr>
      <w:r>
        <w:rPr>
          <w:rFonts w:hint="eastAsia" w:ascii="宋体" w:hAnsi="宋体"/>
          <w:b/>
          <w:sz w:val="24"/>
        </w:rPr>
        <w:t>二、评分标准</w:t>
      </w:r>
    </w:p>
    <w:p>
      <w:pPr>
        <w:spacing w:line="360" w:lineRule="auto"/>
        <w:ind w:firstLine="480" w:firstLineChars="200"/>
        <w:rPr>
          <w:rFonts w:ascii="宋体"/>
          <w:sz w:val="24"/>
        </w:rPr>
      </w:pPr>
      <w:r>
        <w:rPr>
          <w:rFonts w:hint="eastAsia" w:ascii="宋体" w:hAnsi="宋体"/>
          <w:sz w:val="24"/>
        </w:rPr>
        <w:t>本项目采用综合评分法。本评标办法总分</w:t>
      </w:r>
      <w:r>
        <w:rPr>
          <w:rFonts w:ascii="宋体" w:hAnsi="宋体"/>
          <w:sz w:val="24"/>
        </w:rPr>
        <w:t>100</w:t>
      </w:r>
      <w:r>
        <w:rPr>
          <w:rFonts w:hint="eastAsia" w:ascii="宋体" w:hAnsi="宋体"/>
          <w:sz w:val="24"/>
        </w:rPr>
        <w:t>分。评标委员会将根据“综合评分法”的有关规定确定中标单位，主要考评以下几个方面：</w:t>
      </w:r>
    </w:p>
    <w:p>
      <w:pPr>
        <w:spacing w:line="360" w:lineRule="auto"/>
        <w:ind w:firstLine="480" w:firstLineChars="200"/>
        <w:rPr>
          <w:rFonts w:ascii="宋体"/>
          <w:sz w:val="24"/>
        </w:rPr>
      </w:pPr>
    </w:p>
    <w:tbl>
      <w:tblPr>
        <w:tblStyle w:val="23"/>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335"/>
        <w:gridCol w:w="757"/>
        <w:gridCol w:w="1508"/>
        <w:gridCol w:w="1328"/>
        <w:gridCol w:w="18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70"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一、报价得分（</w:t>
            </w:r>
            <w:r>
              <w:rPr>
                <w:rFonts w:ascii="宋体" w:hAnsi="宋体" w:cs="宋体"/>
                <w:b/>
                <w:bCs/>
                <w:kern w:val="0"/>
                <w:szCs w:val="21"/>
              </w:rPr>
              <w:t>20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70" w:hRule="atLeast"/>
          <w:jc w:val="center"/>
        </w:trPr>
        <w:tc>
          <w:tcPr>
            <w:tcW w:w="2092" w:type="dxa"/>
            <w:gridSpan w:val="2"/>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序号</w:t>
            </w:r>
          </w:p>
        </w:tc>
        <w:tc>
          <w:tcPr>
            <w:tcW w:w="7366" w:type="dxa"/>
            <w:gridSpan w:val="4"/>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220" w:hRule="atLeast"/>
          <w:jc w:val="center"/>
        </w:trPr>
        <w:tc>
          <w:tcPr>
            <w:tcW w:w="2092" w:type="dxa"/>
            <w:gridSpan w:val="2"/>
            <w:vAlign w:val="center"/>
          </w:tcPr>
          <w:p>
            <w:pPr>
              <w:widowControl/>
              <w:spacing w:line="360" w:lineRule="auto"/>
              <w:jc w:val="center"/>
              <w:rPr>
                <w:rFonts w:ascii="宋体" w:cs="宋体"/>
                <w:kern w:val="0"/>
                <w:szCs w:val="21"/>
              </w:rPr>
            </w:pPr>
            <w:r>
              <w:rPr>
                <w:rFonts w:hint="eastAsia" w:ascii="宋体" w:hAnsi="宋体" w:cs="宋体"/>
                <w:kern w:val="0"/>
                <w:szCs w:val="21"/>
              </w:rPr>
              <w:t>总说明</w:t>
            </w:r>
          </w:p>
        </w:tc>
        <w:tc>
          <w:tcPr>
            <w:tcW w:w="7366" w:type="dxa"/>
            <w:gridSpan w:val="4"/>
            <w:vAlign w:val="center"/>
          </w:tcPr>
          <w:p>
            <w:pPr>
              <w:pStyle w:val="45"/>
              <w:snapToGrid w:val="0"/>
              <w:spacing w:line="360" w:lineRule="auto"/>
              <w:ind w:firstLine="420" w:firstLineChars="200"/>
              <w:rPr>
                <w:rFonts w:ascii="宋体"/>
                <w:sz w:val="21"/>
                <w:szCs w:val="21"/>
              </w:rPr>
            </w:pPr>
            <w:r>
              <w:rPr>
                <w:rFonts w:hint="eastAsia" w:ascii="宋体" w:hAnsi="宋体"/>
                <w:sz w:val="21"/>
                <w:szCs w:val="21"/>
              </w:rPr>
              <w:t>通过资格和符合性检查的有效报价，进入价格评议环节，本项目价格评议采用最低价优先法计算，即满足招标文件要求且报价最低的投标报价为评标基准价（无特殊情况，投标价格不得高于招标预算），其价格分为满分，其他投标人报价</w:t>
            </w:r>
            <w:r>
              <w:rPr>
                <w:rFonts w:ascii="宋体" w:hAnsi="宋体"/>
                <w:sz w:val="21"/>
                <w:szCs w:val="21"/>
              </w:rPr>
              <w:t>=</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投标报价）╳</w:t>
            </w:r>
            <w:r>
              <w:rPr>
                <w:rFonts w:ascii="宋体" w:hAnsi="宋体"/>
                <w:sz w:val="21"/>
                <w:szCs w:val="21"/>
              </w:rPr>
              <w:t>20%</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85"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二、商务部分（</w:t>
            </w:r>
            <w:r>
              <w:rPr>
                <w:rFonts w:ascii="宋体" w:hAnsi="宋体" w:cs="宋体"/>
                <w:b/>
                <w:bCs/>
                <w:kern w:val="0"/>
                <w:szCs w:val="21"/>
              </w:rPr>
              <w:t>20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312" w:hRule="atLeast"/>
          <w:jc w:val="center"/>
        </w:trPr>
        <w:tc>
          <w:tcPr>
            <w:tcW w:w="1335" w:type="dxa"/>
            <w:vAlign w:val="center"/>
          </w:tcPr>
          <w:p>
            <w:pPr>
              <w:spacing w:line="360" w:lineRule="auto"/>
              <w:jc w:val="center"/>
              <w:rPr>
                <w:rFonts w:ascii="宋体" w:cs="宋体"/>
                <w:b/>
                <w:kern w:val="0"/>
                <w:szCs w:val="21"/>
              </w:rPr>
            </w:pPr>
            <w:r>
              <w:rPr>
                <w:rFonts w:hint="eastAsia" w:ascii="宋体" w:hAnsi="宋体" w:cs="宋体"/>
                <w:b/>
                <w:kern w:val="0"/>
                <w:szCs w:val="21"/>
              </w:rPr>
              <w:t>序号</w:t>
            </w:r>
          </w:p>
        </w:tc>
        <w:tc>
          <w:tcPr>
            <w:tcW w:w="2265" w:type="dxa"/>
            <w:gridSpan w:val="2"/>
            <w:vAlign w:val="center"/>
          </w:tcPr>
          <w:p>
            <w:pPr>
              <w:spacing w:line="360" w:lineRule="auto"/>
              <w:jc w:val="center"/>
              <w:rPr>
                <w:rFonts w:ascii="宋体" w:cs="宋体"/>
                <w:b/>
                <w:kern w:val="0"/>
                <w:szCs w:val="21"/>
              </w:rPr>
            </w:pPr>
            <w:r>
              <w:rPr>
                <w:rFonts w:hint="eastAsia" w:ascii="宋体" w:hAnsi="宋体" w:cs="宋体"/>
                <w:b/>
                <w:kern w:val="0"/>
                <w:szCs w:val="21"/>
              </w:rPr>
              <w:t>评审因素</w:t>
            </w:r>
          </w:p>
        </w:tc>
        <w:tc>
          <w:tcPr>
            <w:tcW w:w="1328" w:type="dxa"/>
            <w:vAlign w:val="center"/>
          </w:tcPr>
          <w:p>
            <w:pPr>
              <w:spacing w:line="360" w:lineRule="auto"/>
              <w:jc w:val="center"/>
              <w:rPr>
                <w:rFonts w:ascii="宋体" w:cs="宋体"/>
                <w:b/>
                <w:kern w:val="0"/>
                <w:szCs w:val="21"/>
              </w:rPr>
            </w:pPr>
            <w:r>
              <w:rPr>
                <w:rFonts w:hint="eastAsia" w:ascii="宋体" w:hAnsi="宋体" w:cs="宋体"/>
                <w:b/>
                <w:kern w:val="0"/>
                <w:szCs w:val="21"/>
              </w:rPr>
              <w:t>分值</w:t>
            </w:r>
          </w:p>
        </w:tc>
        <w:tc>
          <w:tcPr>
            <w:tcW w:w="4530" w:type="dxa"/>
            <w:gridSpan w:val="2"/>
            <w:vAlign w:val="center"/>
          </w:tcPr>
          <w:p>
            <w:pPr>
              <w:spacing w:line="360" w:lineRule="auto"/>
              <w:jc w:val="center"/>
              <w:rPr>
                <w:rFonts w:ascii="宋体" w:cs="宋体"/>
                <w:b/>
                <w:kern w:val="0"/>
                <w:szCs w:val="21"/>
              </w:rPr>
            </w:pPr>
            <w:r>
              <w:rPr>
                <w:rFonts w:hint="eastAsia" w:ascii="宋体" w:hAnsi="宋体" w:cs="宋体"/>
                <w:b/>
                <w:kern w:val="0"/>
                <w:szCs w:val="21"/>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722"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1</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投标文件编制质量</w:t>
            </w:r>
          </w:p>
        </w:tc>
        <w:tc>
          <w:tcPr>
            <w:tcW w:w="1328" w:type="dxa"/>
            <w:vAlign w:val="center"/>
          </w:tcPr>
          <w:p>
            <w:pPr>
              <w:spacing w:line="360" w:lineRule="auto"/>
              <w:jc w:val="center"/>
              <w:rPr>
                <w:rFonts w:ascii="宋体" w:cs="宋体"/>
                <w:kern w:val="0"/>
                <w:szCs w:val="21"/>
              </w:rPr>
            </w:pPr>
            <w:r>
              <w:rPr>
                <w:rFonts w:ascii="宋体" w:hAnsi="宋体" w:cs="宋体"/>
                <w:kern w:val="0"/>
                <w:szCs w:val="21"/>
              </w:rPr>
              <w:t>5</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编制有序、内容完整、装订整齐、书面整治、内容详实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62"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2</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投标人公司人员配备情况</w:t>
            </w:r>
          </w:p>
        </w:tc>
        <w:tc>
          <w:tcPr>
            <w:tcW w:w="1328" w:type="dxa"/>
            <w:vAlign w:val="center"/>
          </w:tcPr>
          <w:p>
            <w:pPr>
              <w:spacing w:line="360" w:lineRule="auto"/>
              <w:jc w:val="center"/>
              <w:rPr>
                <w:rFonts w:ascii="宋体" w:cs="宋体"/>
                <w:kern w:val="0"/>
                <w:szCs w:val="21"/>
              </w:rPr>
            </w:pPr>
            <w:r>
              <w:rPr>
                <w:rFonts w:ascii="宋体" w:hAnsi="宋体" w:cs="宋体"/>
                <w:kern w:val="0"/>
                <w:szCs w:val="21"/>
              </w:rPr>
              <w:t>5</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根据投标人公司人员配备情况酌情评分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458" w:hRule="atLeast"/>
          <w:jc w:val="center"/>
        </w:trPr>
        <w:tc>
          <w:tcPr>
            <w:tcW w:w="1335" w:type="dxa"/>
            <w:vAlign w:val="center"/>
          </w:tcPr>
          <w:p>
            <w:pPr>
              <w:spacing w:line="360" w:lineRule="auto"/>
              <w:jc w:val="center"/>
              <w:rPr>
                <w:rFonts w:ascii="宋体" w:cs="宋体"/>
                <w:kern w:val="0"/>
                <w:szCs w:val="21"/>
              </w:rPr>
            </w:pPr>
            <w:r>
              <w:rPr>
                <w:rFonts w:ascii="宋体" w:hAnsi="宋体" w:cs="宋体"/>
                <w:kern w:val="0"/>
                <w:szCs w:val="21"/>
              </w:rPr>
              <w:t>3</w:t>
            </w:r>
          </w:p>
        </w:tc>
        <w:tc>
          <w:tcPr>
            <w:tcW w:w="2265" w:type="dxa"/>
            <w:gridSpan w:val="2"/>
            <w:vAlign w:val="center"/>
          </w:tcPr>
          <w:p>
            <w:pPr>
              <w:spacing w:line="360" w:lineRule="auto"/>
              <w:jc w:val="center"/>
              <w:rPr>
                <w:rFonts w:ascii="宋体" w:cs="宋体"/>
                <w:kern w:val="0"/>
                <w:szCs w:val="21"/>
              </w:rPr>
            </w:pPr>
            <w:r>
              <w:rPr>
                <w:rFonts w:hint="eastAsia" w:ascii="宋体" w:hAnsi="宋体" w:cs="宋体"/>
                <w:kern w:val="0"/>
                <w:szCs w:val="21"/>
              </w:rPr>
              <w:t>业绩情况</w:t>
            </w:r>
          </w:p>
        </w:tc>
        <w:tc>
          <w:tcPr>
            <w:tcW w:w="1328" w:type="dxa"/>
            <w:vAlign w:val="center"/>
          </w:tcPr>
          <w:p>
            <w:pPr>
              <w:spacing w:line="360" w:lineRule="auto"/>
              <w:jc w:val="center"/>
              <w:rPr>
                <w:rFonts w:ascii="宋体" w:cs="宋体"/>
                <w:kern w:val="0"/>
                <w:szCs w:val="21"/>
              </w:rPr>
            </w:pPr>
            <w:r>
              <w:rPr>
                <w:rFonts w:ascii="宋体" w:hAnsi="宋体" w:cs="宋体"/>
                <w:kern w:val="0"/>
                <w:szCs w:val="21"/>
              </w:rPr>
              <w:t>10</w:t>
            </w:r>
          </w:p>
        </w:tc>
        <w:tc>
          <w:tcPr>
            <w:tcW w:w="4530" w:type="dxa"/>
            <w:gridSpan w:val="2"/>
            <w:vAlign w:val="center"/>
          </w:tcPr>
          <w:p>
            <w:pPr>
              <w:spacing w:line="360" w:lineRule="auto"/>
              <w:rPr>
                <w:rFonts w:ascii="宋体" w:cs="宋体"/>
                <w:kern w:val="0"/>
                <w:szCs w:val="21"/>
              </w:rPr>
            </w:pPr>
            <w:r>
              <w:rPr>
                <w:rFonts w:hint="eastAsia" w:ascii="宋体" w:hAnsi="宋体" w:cs="宋体"/>
                <w:kern w:val="0"/>
                <w:szCs w:val="21"/>
              </w:rPr>
              <w:t>根据投标人提供的业绩情况酌情评分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285" w:hRule="atLeast"/>
          <w:jc w:val="center"/>
        </w:trPr>
        <w:tc>
          <w:tcPr>
            <w:tcW w:w="9458" w:type="dxa"/>
            <w:gridSpan w:val="6"/>
            <w:vAlign w:val="center"/>
          </w:tcPr>
          <w:p>
            <w:pPr>
              <w:widowControl/>
              <w:spacing w:line="360" w:lineRule="auto"/>
              <w:jc w:val="center"/>
              <w:rPr>
                <w:rFonts w:ascii="宋体" w:cs="宋体"/>
                <w:b/>
                <w:bCs/>
                <w:kern w:val="0"/>
                <w:szCs w:val="21"/>
              </w:rPr>
            </w:pPr>
            <w:r>
              <w:rPr>
                <w:rFonts w:hint="eastAsia" w:ascii="宋体" w:hAnsi="宋体" w:cs="宋体"/>
                <w:b/>
                <w:bCs/>
                <w:kern w:val="0"/>
                <w:szCs w:val="21"/>
              </w:rPr>
              <w:t>三、技术部分（</w:t>
            </w:r>
            <w:r>
              <w:rPr>
                <w:rFonts w:ascii="宋体" w:hAnsi="宋体" w:cs="宋体"/>
                <w:b/>
                <w:bCs/>
                <w:kern w:val="0"/>
                <w:szCs w:val="21"/>
              </w:rPr>
              <w:t>60</w:t>
            </w:r>
            <w:r>
              <w:rPr>
                <w:rFonts w:hint="eastAsia" w:ascii="宋体" w:hAnsi="宋体" w:cs="宋体"/>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334" w:hRule="atLeast"/>
          <w:jc w:val="center"/>
        </w:trPr>
        <w:tc>
          <w:tcPr>
            <w:tcW w:w="1335" w:type="dxa"/>
            <w:vAlign w:val="center"/>
          </w:tcPr>
          <w:p>
            <w:pPr>
              <w:widowControl/>
              <w:jc w:val="center"/>
              <w:rPr>
                <w:rFonts w:ascii="宋体" w:cs="宋体"/>
                <w:b/>
                <w:sz w:val="24"/>
              </w:rPr>
            </w:pPr>
            <w:r>
              <w:rPr>
                <w:rFonts w:hint="eastAsia" w:ascii="宋体" w:hAnsi="宋体" w:cs="宋体"/>
                <w:b/>
                <w:sz w:val="24"/>
              </w:rPr>
              <w:t>序号</w:t>
            </w:r>
          </w:p>
        </w:tc>
        <w:tc>
          <w:tcPr>
            <w:tcW w:w="2265" w:type="dxa"/>
            <w:gridSpan w:val="2"/>
            <w:vAlign w:val="center"/>
          </w:tcPr>
          <w:p>
            <w:pPr>
              <w:widowControl/>
              <w:jc w:val="center"/>
              <w:rPr>
                <w:rFonts w:ascii="宋体" w:cs="宋体"/>
                <w:b/>
                <w:sz w:val="24"/>
              </w:rPr>
            </w:pPr>
            <w:r>
              <w:rPr>
                <w:rFonts w:hint="eastAsia" w:ascii="宋体" w:hAnsi="宋体" w:cs="宋体"/>
                <w:b/>
                <w:sz w:val="24"/>
              </w:rPr>
              <w:t>评审因素</w:t>
            </w:r>
          </w:p>
        </w:tc>
        <w:tc>
          <w:tcPr>
            <w:tcW w:w="1515" w:type="dxa"/>
            <w:gridSpan w:val="2"/>
            <w:vAlign w:val="center"/>
          </w:tcPr>
          <w:p>
            <w:pPr>
              <w:widowControl/>
              <w:jc w:val="center"/>
              <w:rPr>
                <w:rFonts w:ascii="宋体" w:cs="宋体"/>
                <w:b/>
                <w:sz w:val="24"/>
              </w:rPr>
            </w:pPr>
            <w:r>
              <w:rPr>
                <w:rFonts w:hint="eastAsia" w:ascii="宋体" w:hAnsi="宋体" w:cs="宋体"/>
                <w:b/>
                <w:sz w:val="24"/>
              </w:rPr>
              <w:t>分值</w:t>
            </w:r>
          </w:p>
        </w:tc>
        <w:tc>
          <w:tcPr>
            <w:tcW w:w="4343" w:type="dxa"/>
            <w:vAlign w:val="center"/>
          </w:tcPr>
          <w:p>
            <w:pPr>
              <w:widowControl/>
              <w:jc w:val="center"/>
              <w:rPr>
                <w:rFonts w:ascii="宋体" w:cs="宋体"/>
                <w:b/>
                <w:sz w:val="24"/>
              </w:rPr>
            </w:pPr>
            <w:r>
              <w:rPr>
                <w:rFonts w:hint="eastAsia" w:ascii="宋体" w:hAnsi="宋体" w:cs="宋体"/>
                <w:b/>
                <w:sz w:val="24"/>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1004" w:hRule="atLeast"/>
          <w:jc w:val="center"/>
        </w:trPr>
        <w:tc>
          <w:tcPr>
            <w:tcW w:w="1335" w:type="dxa"/>
            <w:vAlign w:val="center"/>
          </w:tcPr>
          <w:p>
            <w:pPr>
              <w:pStyle w:val="45"/>
              <w:snapToGrid w:val="0"/>
              <w:spacing w:line="360" w:lineRule="auto"/>
              <w:ind w:firstLine="420" w:firstLineChars="200"/>
              <w:rPr>
                <w:rFonts w:ascii="宋体"/>
                <w:sz w:val="21"/>
                <w:szCs w:val="21"/>
              </w:rPr>
            </w:pPr>
            <w:r>
              <w:rPr>
                <w:rFonts w:ascii="宋体" w:hAnsi="宋体"/>
                <w:sz w:val="21"/>
                <w:szCs w:val="21"/>
              </w:rPr>
              <w:t>1</w:t>
            </w:r>
          </w:p>
        </w:tc>
        <w:tc>
          <w:tcPr>
            <w:tcW w:w="2265" w:type="dxa"/>
            <w:gridSpan w:val="2"/>
            <w:vAlign w:val="center"/>
          </w:tcPr>
          <w:p>
            <w:pPr>
              <w:pStyle w:val="45"/>
              <w:snapToGrid w:val="0"/>
              <w:spacing w:line="360" w:lineRule="auto"/>
              <w:ind w:firstLine="420" w:firstLineChars="200"/>
              <w:rPr>
                <w:rFonts w:ascii="宋体"/>
                <w:sz w:val="21"/>
                <w:szCs w:val="21"/>
              </w:rPr>
            </w:pPr>
            <w:r>
              <w:rPr>
                <w:rFonts w:hint="eastAsia" w:ascii="宋体" w:hAnsi="宋体"/>
                <w:sz w:val="21"/>
                <w:szCs w:val="21"/>
              </w:rPr>
              <w:t>项目实施方案</w:t>
            </w:r>
          </w:p>
        </w:tc>
        <w:tc>
          <w:tcPr>
            <w:tcW w:w="1515" w:type="dxa"/>
            <w:gridSpan w:val="2"/>
            <w:vAlign w:val="center"/>
          </w:tcPr>
          <w:p>
            <w:pPr>
              <w:pStyle w:val="45"/>
              <w:snapToGrid w:val="0"/>
              <w:spacing w:line="360" w:lineRule="auto"/>
              <w:ind w:firstLine="420" w:firstLineChars="200"/>
              <w:rPr>
                <w:rFonts w:ascii="宋体"/>
                <w:sz w:val="21"/>
                <w:szCs w:val="21"/>
              </w:rPr>
            </w:pPr>
            <w:r>
              <w:rPr>
                <w:rFonts w:ascii="宋体" w:hAnsi="宋体"/>
                <w:sz w:val="21"/>
                <w:szCs w:val="21"/>
              </w:rPr>
              <w:t>50</w:t>
            </w:r>
          </w:p>
        </w:tc>
        <w:tc>
          <w:tcPr>
            <w:tcW w:w="4343" w:type="dxa"/>
            <w:vAlign w:val="center"/>
          </w:tcPr>
          <w:p>
            <w:pPr>
              <w:pStyle w:val="45"/>
              <w:snapToGrid w:val="0"/>
              <w:spacing w:line="360" w:lineRule="auto"/>
              <w:rPr>
                <w:rFonts w:ascii="宋体"/>
                <w:sz w:val="21"/>
                <w:szCs w:val="21"/>
              </w:rPr>
            </w:pPr>
            <w:r>
              <w:rPr>
                <w:rFonts w:hint="eastAsia" w:ascii="宋体" w:hAnsi="宋体"/>
                <w:sz w:val="21"/>
                <w:szCs w:val="21"/>
              </w:rPr>
              <w:t>根据公司拟配备的人员，与相关专家的联系方案，工作进度，质量保证措施等酌情评分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548" w:hRule="atLeast"/>
          <w:jc w:val="center"/>
        </w:trPr>
        <w:tc>
          <w:tcPr>
            <w:tcW w:w="1335" w:type="dxa"/>
            <w:vAlign w:val="center"/>
          </w:tcPr>
          <w:p>
            <w:pPr>
              <w:pStyle w:val="45"/>
              <w:snapToGrid w:val="0"/>
              <w:spacing w:line="360" w:lineRule="auto"/>
              <w:ind w:firstLine="420" w:firstLineChars="200"/>
              <w:rPr>
                <w:rFonts w:ascii="宋体"/>
                <w:sz w:val="21"/>
                <w:szCs w:val="21"/>
              </w:rPr>
            </w:pPr>
            <w:r>
              <w:rPr>
                <w:rFonts w:ascii="宋体" w:hAnsi="宋体"/>
                <w:sz w:val="21"/>
                <w:szCs w:val="21"/>
              </w:rPr>
              <w:t>2</w:t>
            </w:r>
          </w:p>
        </w:tc>
        <w:tc>
          <w:tcPr>
            <w:tcW w:w="2265" w:type="dxa"/>
            <w:gridSpan w:val="2"/>
            <w:vAlign w:val="center"/>
          </w:tcPr>
          <w:p>
            <w:pPr>
              <w:pStyle w:val="45"/>
              <w:snapToGrid w:val="0"/>
              <w:spacing w:line="360" w:lineRule="auto"/>
              <w:rPr>
                <w:rFonts w:ascii="宋体"/>
                <w:sz w:val="21"/>
                <w:szCs w:val="21"/>
              </w:rPr>
            </w:pPr>
            <w:r>
              <w:rPr>
                <w:rFonts w:hint="eastAsia" w:ascii="宋体" w:hAnsi="宋体"/>
                <w:sz w:val="21"/>
                <w:szCs w:val="21"/>
              </w:rPr>
              <w:t>与相关专家合作情况</w:t>
            </w:r>
          </w:p>
        </w:tc>
        <w:tc>
          <w:tcPr>
            <w:tcW w:w="1515" w:type="dxa"/>
            <w:gridSpan w:val="2"/>
            <w:vAlign w:val="center"/>
          </w:tcPr>
          <w:p>
            <w:pPr>
              <w:pStyle w:val="45"/>
              <w:snapToGrid w:val="0"/>
              <w:spacing w:line="360" w:lineRule="auto"/>
              <w:ind w:firstLine="420" w:firstLineChars="200"/>
              <w:rPr>
                <w:rFonts w:ascii="宋体"/>
                <w:sz w:val="21"/>
                <w:szCs w:val="21"/>
              </w:rPr>
            </w:pPr>
            <w:r>
              <w:rPr>
                <w:rFonts w:ascii="宋体" w:hAnsi="宋体"/>
                <w:sz w:val="21"/>
                <w:szCs w:val="21"/>
              </w:rPr>
              <w:t>10</w:t>
            </w:r>
          </w:p>
        </w:tc>
        <w:tc>
          <w:tcPr>
            <w:tcW w:w="4343" w:type="dxa"/>
            <w:vAlign w:val="center"/>
          </w:tcPr>
          <w:p>
            <w:pPr>
              <w:pStyle w:val="45"/>
              <w:snapToGrid w:val="0"/>
              <w:spacing w:line="360" w:lineRule="auto"/>
              <w:rPr>
                <w:rFonts w:ascii="宋体"/>
                <w:sz w:val="21"/>
                <w:szCs w:val="21"/>
              </w:rPr>
            </w:pPr>
            <w:r>
              <w:rPr>
                <w:rFonts w:hint="eastAsia" w:ascii="宋体" w:hAnsi="宋体"/>
                <w:sz w:val="21"/>
                <w:szCs w:val="21"/>
              </w:rPr>
              <w:t>根据公司以往与相关专家的合作情况酌情评分</w:t>
            </w:r>
          </w:p>
        </w:tc>
      </w:tr>
    </w:tbl>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spacing w:line="360" w:lineRule="auto"/>
        <w:rPr>
          <w:rFonts w:ascii="宋体"/>
          <w:b/>
          <w:sz w:val="26"/>
        </w:rPr>
      </w:pPr>
    </w:p>
    <w:p>
      <w:pPr>
        <w:pStyle w:val="2"/>
        <w:spacing w:before="0" w:line="360" w:lineRule="auto"/>
        <w:jc w:val="center"/>
        <w:rPr>
          <w:rFonts w:ascii="宋体"/>
          <w:sz w:val="32"/>
          <w:szCs w:val="32"/>
        </w:rPr>
      </w:pP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报价文件格式</w:t>
      </w:r>
    </w:p>
    <w:p>
      <w:pPr>
        <w:spacing w:line="360" w:lineRule="auto"/>
        <w:jc w:val="center"/>
        <w:rPr>
          <w:rFonts w:ascii="宋体"/>
          <w:sz w:val="44"/>
          <w:szCs w:val="44"/>
        </w:rPr>
      </w:pPr>
    </w:p>
    <w:p>
      <w:pPr>
        <w:spacing w:line="360" w:lineRule="auto"/>
        <w:jc w:val="center"/>
        <w:rPr>
          <w:rFonts w:ascii="宋体"/>
          <w:sz w:val="44"/>
          <w:szCs w:val="44"/>
        </w:rPr>
      </w:pPr>
    </w:p>
    <w:p>
      <w:pPr>
        <w:spacing w:line="360" w:lineRule="auto"/>
        <w:jc w:val="center"/>
        <w:rPr>
          <w:rFonts w:ascii="宋体"/>
          <w:sz w:val="44"/>
          <w:szCs w:val="44"/>
        </w:rPr>
      </w:pPr>
    </w:p>
    <w:p>
      <w:pPr>
        <w:spacing w:line="360" w:lineRule="auto"/>
        <w:jc w:val="center"/>
        <w:rPr>
          <w:rFonts w:ascii="黑体" w:hAnsi="宋体" w:eastAsia="黑体"/>
          <w:b/>
          <w:sz w:val="48"/>
          <w:szCs w:val="48"/>
        </w:rPr>
      </w:pPr>
      <w:r>
        <w:rPr>
          <w:rFonts w:hint="eastAsia" w:ascii="黑体" w:hAnsi="宋体" w:eastAsia="黑体"/>
          <w:b/>
          <w:sz w:val="48"/>
          <w:szCs w:val="48"/>
        </w:rPr>
        <w:t>报</w:t>
      </w:r>
      <w:r>
        <w:rPr>
          <w:rFonts w:ascii="黑体" w:hAnsi="宋体" w:eastAsia="黑体"/>
          <w:b/>
          <w:sz w:val="48"/>
          <w:szCs w:val="48"/>
        </w:rPr>
        <w:t xml:space="preserve"> </w:t>
      </w:r>
      <w:r>
        <w:rPr>
          <w:rFonts w:hint="eastAsia" w:ascii="黑体" w:hAnsi="宋体" w:eastAsia="黑体"/>
          <w:b/>
          <w:sz w:val="48"/>
          <w:szCs w:val="48"/>
        </w:rPr>
        <w:t>价</w:t>
      </w:r>
      <w:r>
        <w:rPr>
          <w:rFonts w:ascii="黑体" w:hAnsi="宋体" w:eastAsia="黑体"/>
          <w:b/>
          <w:sz w:val="48"/>
          <w:szCs w:val="48"/>
        </w:rPr>
        <w:t xml:space="preserve"> </w:t>
      </w:r>
      <w:r>
        <w:rPr>
          <w:rFonts w:hint="eastAsia" w:ascii="黑体" w:hAnsi="宋体" w:eastAsia="黑体"/>
          <w:b/>
          <w:sz w:val="48"/>
          <w:szCs w:val="48"/>
        </w:rPr>
        <w:t>文</w:t>
      </w:r>
      <w:r>
        <w:rPr>
          <w:rFonts w:ascii="黑体" w:hAnsi="宋体" w:eastAsia="黑体"/>
          <w:b/>
          <w:sz w:val="48"/>
          <w:szCs w:val="48"/>
        </w:rPr>
        <w:t xml:space="preserve"> </w:t>
      </w:r>
      <w:r>
        <w:rPr>
          <w:rFonts w:hint="eastAsia" w:ascii="黑体" w:hAnsi="宋体" w:eastAsia="黑体"/>
          <w:b/>
          <w:sz w:val="48"/>
          <w:szCs w:val="48"/>
        </w:rPr>
        <w:t>件</w:t>
      </w: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ind w:firstLine="2700"/>
        <w:rPr>
          <w:rFonts w:ascii="宋体"/>
          <w:sz w:val="28"/>
          <w:szCs w:val="28"/>
        </w:rPr>
      </w:pPr>
      <w:r>
        <w:rPr>
          <w:rFonts w:hint="eastAsia" w:ascii="宋体" w:hAnsi="宋体"/>
          <w:sz w:val="28"/>
          <w:szCs w:val="28"/>
        </w:rPr>
        <w:t>采购项目编号：</w:t>
      </w:r>
    </w:p>
    <w:p>
      <w:pPr>
        <w:tabs>
          <w:tab w:val="left" w:pos="3240"/>
        </w:tabs>
        <w:spacing w:line="360" w:lineRule="auto"/>
        <w:ind w:firstLine="2700"/>
        <w:rPr>
          <w:rFonts w:ascii="宋体"/>
          <w:sz w:val="28"/>
          <w:szCs w:val="28"/>
        </w:rPr>
      </w:pPr>
      <w:r>
        <w:rPr>
          <w:rFonts w:hint="eastAsia" w:ascii="宋体" w:hAnsi="宋体"/>
          <w:sz w:val="28"/>
          <w:szCs w:val="28"/>
        </w:rPr>
        <w:t>采购项目名称：</w:t>
      </w:r>
    </w:p>
    <w:p>
      <w:pPr>
        <w:spacing w:line="360" w:lineRule="auto"/>
        <w:ind w:firstLine="2700"/>
        <w:rPr>
          <w:rFonts w:ascii="宋体"/>
          <w:sz w:val="28"/>
          <w:szCs w:val="28"/>
          <w:u w:val="single"/>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tabs>
          <w:tab w:val="left" w:pos="2625"/>
        </w:tabs>
        <w:spacing w:line="360" w:lineRule="auto"/>
        <w:jc w:val="center"/>
        <w:rPr>
          <w:rFonts w:ascii="宋体"/>
          <w:sz w:val="28"/>
          <w:szCs w:val="28"/>
        </w:rPr>
      </w:pPr>
    </w:p>
    <w:p>
      <w:pPr>
        <w:spacing w:line="360" w:lineRule="auto"/>
        <w:jc w:val="center"/>
        <w:rPr>
          <w:rFonts w:ascii="宋体"/>
          <w:sz w:val="28"/>
          <w:szCs w:val="28"/>
          <w:u w:val="single"/>
        </w:rPr>
      </w:pPr>
      <w:r>
        <w:rPr>
          <w:rFonts w:hint="eastAsia" w:ascii="宋体" w:hAnsi="宋体"/>
          <w:sz w:val="28"/>
          <w:szCs w:val="28"/>
          <w:u w:val="single"/>
        </w:rPr>
        <w:t>（供货商名称）</w:t>
      </w:r>
    </w:p>
    <w:p>
      <w:pPr>
        <w:spacing w:line="360" w:lineRule="auto"/>
        <w:jc w:val="center"/>
        <w:rPr>
          <w:rFonts w:ascii="宋体"/>
          <w:sz w:val="28"/>
          <w:szCs w:val="28"/>
          <w:u w:val="single"/>
        </w:rPr>
      </w:pPr>
      <w:r>
        <w:rPr>
          <w:rFonts w:hint="eastAsia" w:ascii="宋体" w:hAnsi="宋体"/>
          <w:sz w:val="28"/>
          <w:szCs w:val="28"/>
        </w:rPr>
        <w:t>年月日</w:t>
      </w:r>
    </w:p>
    <w:p>
      <w:pPr>
        <w:pStyle w:val="3"/>
        <w:spacing w:line="360" w:lineRule="auto"/>
        <w:rPr>
          <w:rFonts w:ascii="宋体" w:hAnsi="宋体" w:eastAsia="宋体"/>
        </w:rPr>
      </w:pPr>
      <w:r>
        <w:rPr>
          <w:rFonts w:ascii="宋体" w:hAnsi="宋体" w:eastAsia="宋体"/>
        </w:rPr>
        <w:br w:type="page"/>
      </w:r>
      <w:bookmarkEnd w:id="1"/>
      <w:bookmarkStart w:id="4" w:name="_Toc294609003"/>
      <w:bookmarkStart w:id="5" w:name="_Toc238276242"/>
      <w:bookmarkStart w:id="6" w:name="_Toc327371177"/>
      <w:bookmarkStart w:id="7" w:name="_Toc236473298"/>
      <w:bookmarkStart w:id="8" w:name="_Toc265109445"/>
      <w:r>
        <w:rPr>
          <w:rFonts w:hint="eastAsia" w:ascii="宋体" w:hAnsi="宋体" w:eastAsia="宋体"/>
          <w:bCs w:val="0"/>
        </w:rPr>
        <w:t>附件一：报价书</w:t>
      </w:r>
      <w:bookmarkEnd w:id="4"/>
      <w:bookmarkEnd w:id="5"/>
      <w:bookmarkEnd w:id="6"/>
      <w:bookmarkEnd w:id="7"/>
      <w:bookmarkEnd w:id="8"/>
    </w:p>
    <w:p>
      <w:pPr>
        <w:adjustRightInd w:val="0"/>
        <w:snapToGrid w:val="0"/>
        <w:spacing w:line="360" w:lineRule="auto"/>
        <w:rPr>
          <w:rFonts w:ascii="宋体"/>
          <w:sz w:val="24"/>
        </w:rPr>
      </w:pPr>
      <w:r>
        <w:rPr>
          <w:rFonts w:hint="eastAsia" w:ascii="宋体" w:hAnsi="宋体"/>
          <w:sz w:val="24"/>
          <w:u w:val="single"/>
        </w:rPr>
        <w:t>长江大学艺术学院</w:t>
      </w:r>
      <w:r>
        <w:rPr>
          <w:rFonts w:hint="eastAsia" w:ascii="宋体" w:hAnsi="宋体"/>
          <w:sz w:val="24"/>
        </w:rPr>
        <w:t>：</w:t>
      </w:r>
    </w:p>
    <w:p>
      <w:pPr>
        <w:autoSpaceDE w:val="0"/>
        <w:autoSpaceDN w:val="0"/>
        <w:adjustRightInd w:val="0"/>
        <w:spacing w:line="360" w:lineRule="auto"/>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提交下述文件正本一份，副本二份。</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法人授权书；</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资格证明文件；；</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项目组织措施；</w:t>
      </w:r>
    </w:p>
    <w:p>
      <w:pPr>
        <w:autoSpaceDE w:val="0"/>
        <w:autoSpaceDN w:val="0"/>
        <w:adjustRightInd w:val="0"/>
        <w:spacing w:line="360" w:lineRule="auto"/>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按采购文件及附件要求提供的有关文件；</w:t>
      </w:r>
    </w:p>
    <w:p>
      <w:pPr>
        <w:autoSpaceDE w:val="0"/>
        <w:autoSpaceDN w:val="0"/>
        <w:adjustRightInd w:val="0"/>
        <w:spacing w:line="360" w:lineRule="auto"/>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360" w:lineRule="auto"/>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所附《报价一览表》中规定的应提交和交付的服务投标总价为</w:t>
      </w:r>
      <w:r>
        <w:rPr>
          <w:rFonts w:hint="eastAsia" w:ascii="宋体" w:hAnsi="宋体"/>
          <w:kern w:val="0"/>
          <w:sz w:val="24"/>
          <w:u w:val="single"/>
        </w:rPr>
        <w:t>（注明币种，并用文字和数字表示的投标总价）。</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本响应文件有效期为自报价之日起个日历日；</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360" w:lineRule="auto"/>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p>
    <w:p>
      <w:pPr>
        <w:autoSpaceDE w:val="0"/>
        <w:autoSpaceDN w:val="0"/>
        <w:adjustRightInd w:val="0"/>
        <w:spacing w:line="360" w:lineRule="auto"/>
        <w:ind w:left="897" w:leftChars="427" w:right="246" w:firstLine="2" w:firstLineChars="1"/>
        <w:rPr>
          <w:rFonts w:asci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p>
    <w:p>
      <w:pPr>
        <w:autoSpaceDE w:val="0"/>
        <w:autoSpaceDN w:val="0"/>
        <w:adjustRightInd w:val="0"/>
        <w:spacing w:line="360" w:lineRule="auto"/>
        <w:ind w:left="897" w:leftChars="427" w:right="33" w:firstLine="2" w:firstLineChars="1"/>
        <w:rPr>
          <w:rFonts w:asci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p>
    <w:p>
      <w:pPr>
        <w:autoSpaceDE w:val="0"/>
        <w:autoSpaceDN w:val="0"/>
        <w:adjustRightInd w:val="0"/>
        <w:spacing w:line="360" w:lineRule="auto"/>
        <w:ind w:left="897" w:leftChars="427" w:right="246" w:firstLine="2" w:firstLineChars="1"/>
        <w:rPr>
          <w:rFonts w:ascii="宋体"/>
          <w:kern w:val="0"/>
          <w:sz w:val="24"/>
        </w:rPr>
      </w:pPr>
      <w:r>
        <w:rPr>
          <w:rFonts w:hint="eastAsia" w:ascii="宋体" w:hAnsi="宋体"/>
          <w:kern w:val="0"/>
          <w:sz w:val="24"/>
        </w:rPr>
        <w:t>电子函件：</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供应商（授权）代表签字：</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p>
    <w:p>
      <w:pPr>
        <w:adjustRightInd w:val="0"/>
        <w:snapToGrid w:val="0"/>
        <w:spacing w:line="360" w:lineRule="auto"/>
        <w:ind w:left="897" w:leftChars="427" w:firstLine="2" w:firstLineChars="1"/>
        <w:rPr>
          <w:rFonts w:ascii="宋体"/>
          <w:sz w:val="24"/>
          <w:u w:val="single"/>
        </w:rPr>
      </w:pPr>
      <w:r>
        <w:rPr>
          <w:rFonts w:hint="eastAsia" w:ascii="宋体" w:hAnsi="宋体"/>
          <w:sz w:val="24"/>
        </w:rPr>
        <w:t>开户银行：</w:t>
      </w:r>
    </w:p>
    <w:p>
      <w:pPr>
        <w:autoSpaceDE w:val="0"/>
        <w:autoSpaceDN w:val="0"/>
        <w:spacing w:line="360" w:lineRule="auto"/>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p>
    <w:p>
      <w:pPr>
        <w:autoSpaceDE w:val="0"/>
        <w:autoSpaceDN w:val="0"/>
        <w:spacing w:line="360" w:lineRule="auto"/>
        <w:ind w:firstLine="1200" w:firstLineChars="500"/>
        <w:rPr>
          <w:rFonts w:ascii="宋体"/>
          <w:sz w:val="24"/>
          <w:u w:val="single"/>
        </w:rPr>
      </w:pPr>
    </w:p>
    <w:p>
      <w:pPr>
        <w:spacing w:line="360" w:lineRule="auto"/>
        <w:rPr>
          <w:rFonts w:ascii="宋体"/>
          <w:b/>
          <w:sz w:val="32"/>
          <w:szCs w:val="32"/>
        </w:rPr>
      </w:pPr>
    </w:p>
    <w:p>
      <w:pPr>
        <w:spacing w:line="360" w:lineRule="auto"/>
        <w:rPr>
          <w:rFonts w:ascii="宋体" w:cs="Arial"/>
          <w:b/>
          <w:sz w:val="32"/>
          <w:szCs w:val="32"/>
        </w:rPr>
      </w:pPr>
      <w:r>
        <w:rPr>
          <w:rFonts w:hint="eastAsia" w:ascii="宋体" w:hAnsi="宋体"/>
          <w:b/>
          <w:sz w:val="32"/>
          <w:szCs w:val="32"/>
        </w:rPr>
        <w:t>附件二</w:t>
      </w:r>
      <w:r>
        <w:rPr>
          <w:rFonts w:ascii="宋体" w:hAnsi="宋体"/>
          <w:b/>
          <w:sz w:val="32"/>
          <w:szCs w:val="32"/>
        </w:rPr>
        <w:t xml:space="preserve">               </w:t>
      </w:r>
      <w:r>
        <w:rPr>
          <w:rFonts w:hint="eastAsia" w:ascii="宋体" w:hAnsi="宋体"/>
          <w:b/>
          <w:sz w:val="32"/>
          <w:szCs w:val="32"/>
        </w:rPr>
        <w:t>报价一览表</w:t>
      </w:r>
    </w:p>
    <w:p>
      <w:pPr>
        <w:spacing w:line="360" w:lineRule="auto"/>
        <w:jc w:val="center"/>
        <w:rPr>
          <w:rFonts w:ascii="宋体"/>
          <w:sz w:val="24"/>
        </w:rPr>
      </w:pPr>
    </w:p>
    <w:p>
      <w:pPr>
        <w:spacing w:line="360" w:lineRule="auto"/>
        <w:rPr>
          <w:rFonts w:ascii="宋体"/>
          <w:sz w:val="24"/>
        </w:rPr>
      </w:pPr>
      <w:r>
        <w:rPr>
          <w:rFonts w:hint="eastAsia" w:ascii="宋体" w:hAnsi="宋体"/>
          <w:sz w:val="24"/>
        </w:rPr>
        <w:t>项目名称：</w:t>
      </w:r>
    </w:p>
    <w:p>
      <w:pPr>
        <w:spacing w:line="360" w:lineRule="auto"/>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3"/>
        <w:tblW w:w="8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857"/>
        <w:gridCol w:w="4908"/>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exact"/>
          <w:jc w:val="center"/>
        </w:trPr>
        <w:tc>
          <w:tcPr>
            <w:tcW w:w="403" w:type="dxa"/>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857" w:type="dxa"/>
            <w:vAlign w:val="center"/>
          </w:tcPr>
          <w:p>
            <w:pPr>
              <w:widowControl/>
              <w:jc w:val="center"/>
              <w:rPr>
                <w:rFonts w:ascii="宋体" w:cs="宋体"/>
                <w:b/>
                <w:bCs/>
                <w:kern w:val="0"/>
                <w:szCs w:val="21"/>
              </w:rPr>
            </w:pPr>
            <w:r>
              <w:rPr>
                <w:rFonts w:hint="eastAsia" w:ascii="宋体" w:hAnsi="宋体" w:cs="宋体"/>
                <w:b/>
                <w:bCs/>
                <w:kern w:val="0"/>
                <w:szCs w:val="21"/>
              </w:rPr>
              <w:t>内容</w:t>
            </w:r>
          </w:p>
        </w:tc>
        <w:tc>
          <w:tcPr>
            <w:tcW w:w="4908" w:type="dxa"/>
            <w:vAlign w:val="center"/>
          </w:tcPr>
          <w:p>
            <w:pPr>
              <w:widowControl/>
              <w:jc w:val="center"/>
              <w:rPr>
                <w:rFonts w:ascii="宋体" w:cs="宋体"/>
                <w:b/>
                <w:bCs/>
                <w:kern w:val="0"/>
                <w:szCs w:val="21"/>
              </w:rPr>
            </w:pPr>
            <w:r>
              <w:rPr>
                <w:rFonts w:hint="eastAsia" w:ascii="宋体" w:hAnsi="宋体" w:cs="宋体"/>
                <w:b/>
                <w:bCs/>
                <w:kern w:val="0"/>
                <w:szCs w:val="21"/>
              </w:rPr>
              <w:t>拟配备专家名单</w:t>
            </w:r>
          </w:p>
        </w:tc>
        <w:tc>
          <w:tcPr>
            <w:tcW w:w="1134" w:type="dxa"/>
            <w:vAlign w:val="center"/>
          </w:tcPr>
          <w:p>
            <w:pPr>
              <w:widowControl/>
              <w:jc w:val="center"/>
              <w:rPr>
                <w:rFonts w:ascii="宋体" w:cs="宋体"/>
                <w:b/>
                <w:bCs/>
                <w:kern w:val="0"/>
                <w:szCs w:val="21"/>
              </w:rPr>
            </w:pPr>
            <w:r>
              <w:rPr>
                <w:rFonts w:hint="eastAsia" w:ascii="宋体" w:hAnsi="宋体" w:cs="宋体"/>
                <w:b/>
                <w:bCs/>
                <w:kern w:val="0"/>
                <w:szCs w:val="21"/>
              </w:rPr>
              <w:t>数量</w:t>
            </w:r>
          </w:p>
        </w:tc>
        <w:tc>
          <w:tcPr>
            <w:tcW w:w="992" w:type="dxa"/>
            <w:vAlign w:val="center"/>
          </w:tcPr>
          <w:p>
            <w:pPr>
              <w:widowControl/>
              <w:jc w:val="center"/>
              <w:rPr>
                <w:rFonts w:ascii="宋体" w:cs="宋体"/>
                <w:b/>
                <w:bCs/>
                <w:kern w:val="0"/>
                <w:szCs w:val="21"/>
              </w:rPr>
            </w:pPr>
            <w:r>
              <w:rPr>
                <w:rFonts w:hint="eastAsia" w:ascii="宋体" w:hAnsi="宋体" w:cs="宋体"/>
                <w:b/>
                <w:bCs/>
                <w:kern w:val="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jc w:val="center"/>
        </w:trPr>
        <w:tc>
          <w:tcPr>
            <w:tcW w:w="403" w:type="dxa"/>
            <w:vAlign w:val="center"/>
          </w:tcPr>
          <w:p>
            <w:pPr>
              <w:widowControl/>
              <w:jc w:val="center"/>
              <w:rPr>
                <w:kern w:val="0"/>
                <w:sz w:val="18"/>
                <w:szCs w:val="18"/>
              </w:rPr>
            </w:pPr>
            <w:r>
              <w:rPr>
                <w:kern w:val="0"/>
                <w:sz w:val="18"/>
                <w:szCs w:val="18"/>
              </w:rPr>
              <w:t>1</w:t>
            </w:r>
          </w:p>
        </w:tc>
        <w:tc>
          <w:tcPr>
            <w:tcW w:w="857" w:type="dxa"/>
            <w:vAlign w:val="center"/>
          </w:tcPr>
          <w:p>
            <w:pPr>
              <w:widowControl/>
              <w:jc w:val="center"/>
              <w:rPr>
                <w:kern w:val="0"/>
                <w:sz w:val="18"/>
                <w:szCs w:val="18"/>
              </w:rPr>
            </w:pPr>
            <w:r>
              <w:rPr>
                <w:rFonts w:hint="eastAsia" w:ascii="宋体" w:hAnsi="宋体" w:cs="宋体"/>
                <w:kern w:val="0"/>
                <w:sz w:val="18"/>
                <w:szCs w:val="18"/>
              </w:rPr>
              <w:t>作词</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403" w:type="dxa"/>
            <w:vAlign w:val="center"/>
          </w:tcPr>
          <w:p>
            <w:pPr>
              <w:widowControl/>
              <w:jc w:val="center"/>
              <w:rPr>
                <w:kern w:val="0"/>
                <w:sz w:val="18"/>
                <w:szCs w:val="18"/>
              </w:rPr>
            </w:pPr>
            <w:r>
              <w:rPr>
                <w:kern w:val="0"/>
                <w:sz w:val="18"/>
                <w:szCs w:val="18"/>
              </w:rPr>
              <w:t>2</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编曲</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3</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棚租</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4</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录音</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5</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伴唱</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6</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混音</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r>
              <w:rPr>
                <w:kern w:val="0"/>
                <w:sz w:val="18"/>
                <w:szCs w:val="18"/>
              </w:rPr>
              <w:t>1</w:t>
            </w:r>
          </w:p>
        </w:tc>
        <w:tc>
          <w:tcPr>
            <w:tcW w:w="992" w:type="dxa"/>
            <w:vAlign w:val="center"/>
          </w:tcPr>
          <w:p>
            <w:pPr>
              <w:autoSpaceDE w:val="0"/>
              <w:autoSpaceDN w:val="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403" w:type="dxa"/>
            <w:vAlign w:val="center"/>
          </w:tcPr>
          <w:p>
            <w:pPr>
              <w:widowControl/>
              <w:jc w:val="center"/>
              <w:rPr>
                <w:kern w:val="0"/>
                <w:sz w:val="18"/>
                <w:szCs w:val="18"/>
              </w:rPr>
            </w:pPr>
            <w:r>
              <w:rPr>
                <w:kern w:val="0"/>
                <w:sz w:val="18"/>
                <w:szCs w:val="18"/>
              </w:rPr>
              <w:t>7</w:t>
            </w:r>
          </w:p>
        </w:tc>
        <w:tc>
          <w:tcPr>
            <w:tcW w:w="857" w:type="dxa"/>
            <w:vAlign w:val="center"/>
          </w:tcPr>
          <w:p>
            <w:pPr>
              <w:widowControl/>
              <w:jc w:val="center"/>
              <w:rPr>
                <w:rFonts w:ascii="宋体" w:cs="宋体"/>
                <w:kern w:val="0"/>
                <w:sz w:val="18"/>
                <w:szCs w:val="18"/>
              </w:rPr>
            </w:pPr>
            <w:r>
              <w:rPr>
                <w:rFonts w:hint="eastAsia" w:ascii="宋体" w:hAnsi="宋体" w:cs="宋体"/>
                <w:kern w:val="0"/>
                <w:sz w:val="18"/>
                <w:szCs w:val="18"/>
              </w:rPr>
              <w:t>其他</w:t>
            </w:r>
          </w:p>
        </w:tc>
        <w:tc>
          <w:tcPr>
            <w:tcW w:w="4908" w:type="dxa"/>
            <w:vAlign w:val="center"/>
          </w:tcPr>
          <w:p>
            <w:pPr>
              <w:widowControl/>
              <w:spacing w:line="240" w:lineRule="atLeast"/>
              <w:jc w:val="left"/>
              <w:rPr>
                <w:rFonts w:ascii="宋体"/>
                <w:sz w:val="18"/>
                <w:szCs w:val="18"/>
              </w:rPr>
            </w:pPr>
          </w:p>
        </w:tc>
        <w:tc>
          <w:tcPr>
            <w:tcW w:w="1134" w:type="dxa"/>
            <w:vAlign w:val="center"/>
          </w:tcPr>
          <w:p>
            <w:pPr>
              <w:widowControl/>
              <w:jc w:val="center"/>
              <w:rPr>
                <w:kern w:val="0"/>
                <w:sz w:val="18"/>
                <w:szCs w:val="18"/>
              </w:rPr>
            </w:pPr>
          </w:p>
        </w:tc>
        <w:tc>
          <w:tcPr>
            <w:tcW w:w="992" w:type="dxa"/>
            <w:vAlign w:val="center"/>
          </w:tcPr>
          <w:p>
            <w:pPr>
              <w:autoSpaceDE w:val="0"/>
              <w:autoSpaceDN w:val="0"/>
              <w:jc w:val="center"/>
              <w:rPr>
                <w:rFonts w:ascii="仿宋_GB2312" w:hAnsi="宋体" w:eastAsia="仿宋_GB2312"/>
                <w:color w:val="FF0000"/>
                <w:sz w:val="24"/>
              </w:rPr>
            </w:pPr>
          </w:p>
        </w:tc>
      </w:tr>
    </w:tbl>
    <w:p>
      <w:pPr>
        <w:spacing w:line="360" w:lineRule="auto"/>
        <w:rPr>
          <w:rFonts w:ascii="宋体"/>
          <w:sz w:val="24"/>
        </w:rPr>
      </w:pPr>
    </w:p>
    <w:p>
      <w:pPr>
        <w:spacing w:line="360" w:lineRule="auto"/>
        <w:jc w:val="center"/>
        <w:rPr>
          <w:rFonts w:ascii="宋体"/>
          <w:sz w:val="24"/>
        </w:rPr>
      </w:pPr>
    </w:p>
    <w:p>
      <w:pPr>
        <w:spacing w:line="360" w:lineRule="auto"/>
        <w:jc w:val="center"/>
        <w:rPr>
          <w:rFonts w:ascii="宋体"/>
          <w:sz w:val="24"/>
        </w:rPr>
      </w:pPr>
      <w:r>
        <w:rPr>
          <w:rFonts w:hint="eastAsia" w:ascii="宋体" w:hAnsi="宋体"/>
          <w:sz w:val="24"/>
        </w:rPr>
        <w:t>注：</w:t>
      </w:r>
      <w:r>
        <w:rPr>
          <w:rFonts w:ascii="宋体" w:hAnsi="宋体"/>
          <w:sz w:val="24"/>
        </w:rPr>
        <w:t xml:space="preserve">1. </w:t>
      </w:r>
      <w:r>
        <w:rPr>
          <w:rFonts w:hint="eastAsia" w:ascii="宋体" w:hAnsi="宋体"/>
          <w:sz w:val="24"/>
        </w:rPr>
        <w:t>本表中总报价为合同结算价，采购人不再支付其它任何费用；</w:t>
      </w:r>
    </w:p>
    <w:p>
      <w:pPr>
        <w:spacing w:line="360" w:lineRule="auto"/>
        <w:jc w:val="center"/>
        <w:rPr>
          <w:rFonts w:ascii="宋体"/>
          <w:sz w:val="24"/>
        </w:rPr>
      </w:pP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报价单位（盖章）：</w:t>
      </w: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授权代表（签字）：</w:t>
      </w:r>
    </w:p>
    <w:p>
      <w:pPr>
        <w:autoSpaceDE w:val="0"/>
        <w:autoSpaceDN w:val="0"/>
        <w:adjustRightInd w:val="0"/>
        <w:spacing w:line="360" w:lineRule="auto"/>
        <w:ind w:right="246" w:firstLine="5040" w:firstLineChars="2100"/>
        <w:rPr>
          <w:rFonts w:ascii="宋体"/>
          <w:kern w:val="0"/>
          <w:sz w:val="24"/>
        </w:rPr>
      </w:pPr>
      <w:r>
        <w:rPr>
          <w:rFonts w:hint="eastAsia" w:ascii="宋体" w:hAnsi="宋体"/>
          <w:kern w:val="0"/>
          <w:sz w:val="24"/>
        </w:rPr>
        <w:t>时</w:t>
      </w:r>
      <w:r>
        <w:rPr>
          <w:rFonts w:ascii="宋体" w:hAnsi="宋体"/>
          <w:kern w:val="0"/>
          <w:sz w:val="24"/>
        </w:rPr>
        <w:t xml:space="preserve">    </w:t>
      </w:r>
      <w:r>
        <w:rPr>
          <w:rFonts w:hint="eastAsia" w:ascii="宋体" w:hAnsi="宋体"/>
          <w:kern w:val="0"/>
          <w:sz w:val="24"/>
        </w:rPr>
        <w:t>间：</w:t>
      </w:r>
    </w:p>
    <w:p>
      <w:pPr>
        <w:spacing w:line="360" w:lineRule="auto"/>
        <w:jc w:val="center"/>
        <w:rPr>
          <w:rFonts w:ascii="宋体"/>
          <w:sz w:val="24"/>
        </w:rPr>
      </w:pPr>
    </w:p>
    <w:p>
      <w:pPr>
        <w:spacing w:line="36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hint="eastAsia" w:ascii="宋体" w:hAns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360" w:lineRule="auto"/>
        <w:ind w:firstLine="480" w:firstLineChars="200"/>
        <w:rPr>
          <w:rFonts w:ascii="宋体"/>
          <w:sz w:val="24"/>
        </w:rPr>
      </w:pPr>
    </w:p>
    <w:p>
      <w:pPr>
        <w:spacing w:line="360" w:lineRule="auto"/>
        <w:rPr>
          <w:rFonts w:ascii="宋体"/>
          <w:sz w:val="24"/>
        </w:rPr>
      </w:pPr>
      <w:r>
        <w:rPr>
          <w:rFonts w:hint="eastAsia" w:ascii="宋体" w:hAnsi="宋体"/>
          <w:sz w:val="24"/>
        </w:rPr>
        <w:t>长江大学艺术学院：</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（被授权人姓名）参加贵单位组织的竞争性磋商活动（磋商文件编号：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本授权书于年月日起签字盖章生效。</w:t>
      </w:r>
    </w:p>
    <w:p>
      <w:pPr>
        <w:spacing w:line="360" w:lineRule="auto"/>
        <w:ind w:firstLine="480" w:firstLineChars="200"/>
        <w:rPr>
          <w:rFonts w:asci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姓名：　　　　　　性别：</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身份证号码：</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职务：</w:t>
      </w:r>
    </w:p>
    <w:p>
      <w:pPr>
        <w:spacing w:line="360" w:lineRule="auto"/>
        <w:ind w:firstLine="480" w:firstLineChars="200"/>
        <w:rPr>
          <w:rFonts w:ascii="宋体"/>
          <w:sz w:val="24"/>
        </w:rPr>
      </w:pPr>
      <w:r>
        <w:rPr>
          <w:rFonts w:hint="eastAsia" w:ascii="宋体" w:hAnsi="宋体"/>
          <w:sz w:val="24"/>
        </w:rPr>
        <w:t>详细通讯地址：</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电话：　　　　　　传真：</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邮政编码：</w:t>
      </w:r>
      <w:r>
        <w:rPr>
          <w:rFonts w:ascii="宋体" w:hAnsi="宋体"/>
          <w:sz w:val="24"/>
        </w:rPr>
        <w:t xml:space="preserve"> </w:t>
      </w:r>
    </w:p>
    <w:p>
      <w:pPr>
        <w:spacing w:line="360" w:lineRule="auto"/>
        <w:ind w:firstLine="480" w:firstLineChars="200"/>
        <w:rPr>
          <w:rFonts w:ascii="宋体"/>
          <w:sz w:val="24"/>
        </w:rPr>
      </w:pPr>
    </w:p>
    <w:p>
      <w:pPr>
        <w:spacing w:line="360" w:lineRule="auto"/>
        <w:ind w:firstLine="480" w:firstLineChars="200"/>
        <w:jc w:val="right"/>
        <w:rPr>
          <w:rFonts w:ascii="宋体"/>
          <w:sz w:val="24"/>
        </w:rPr>
      </w:pPr>
      <w:r>
        <w:rPr>
          <w:rFonts w:hint="eastAsia" w:ascii="宋体" w:hAnsi="宋体"/>
          <w:sz w:val="24"/>
        </w:rPr>
        <w:t>授权单位名称（公章）</w:t>
      </w:r>
      <w:r>
        <w:rPr>
          <w:rFonts w:ascii="宋体" w:hAnsi="宋体"/>
          <w:sz w:val="24"/>
        </w:rPr>
        <w:t xml:space="preserve">            </w:t>
      </w:r>
    </w:p>
    <w:p>
      <w:pPr>
        <w:spacing w:line="360" w:lineRule="auto"/>
        <w:ind w:firstLine="480" w:firstLineChars="200"/>
        <w:jc w:val="right"/>
        <w:rPr>
          <w:rFonts w:ascii="宋体"/>
          <w:sz w:val="24"/>
        </w:rPr>
      </w:pPr>
      <w:r>
        <w:rPr>
          <w:rFonts w:hint="eastAsia" w:ascii="宋体" w:hAnsi="宋体"/>
          <w:sz w:val="24"/>
        </w:rPr>
        <w:t>法人代表（签章）</w:t>
      </w:r>
      <w:r>
        <w:rPr>
          <w:rFonts w:ascii="宋体" w:hAnsi="宋体"/>
          <w:sz w:val="24"/>
        </w:rPr>
        <w:t xml:space="preserve">            </w:t>
      </w:r>
    </w:p>
    <w:p>
      <w:pPr>
        <w:spacing w:line="36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360" w:lineRule="auto"/>
        <w:jc w:val="right"/>
        <w:rPr>
          <w:rFonts w:ascii="宋体"/>
          <w:sz w:val="24"/>
        </w:rPr>
      </w:pPr>
    </w:p>
    <w:p>
      <w:pPr>
        <w:spacing w:line="360" w:lineRule="auto"/>
        <w:jc w:val="right"/>
        <w:rPr>
          <w:rFonts w:ascii="宋体"/>
          <w:sz w:val="24"/>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left"/>
        <w:rPr>
          <w:rFonts w:ascii="宋体"/>
          <w:b/>
          <w:bCs/>
          <w:sz w:val="32"/>
          <w:szCs w:val="32"/>
        </w:rPr>
      </w:pPr>
      <w:r>
        <w:rPr>
          <w:rFonts w:hint="eastAsia" w:ascii="宋体" w:hAnsi="宋体"/>
          <w:b/>
          <w:bCs/>
          <w:sz w:val="32"/>
          <w:szCs w:val="32"/>
        </w:rPr>
        <w:t>附件四：</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、企业营业执照等（副本复印件加盖公章）；</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、供货商认为应提供的其他资料。</w:t>
      </w:r>
    </w:p>
    <w:sectPr>
      <w:footerReference r:id="rId4"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16CE8"/>
    <w:multiLevelType w:val="multilevel"/>
    <w:tmpl w:val="58E16CE8"/>
    <w:lvl w:ilvl="0" w:tentative="0">
      <w:start w:val="1"/>
      <w:numFmt w:val="japaneseCounting"/>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215"/>
    <w:rsid w:val="000032C4"/>
    <w:rsid w:val="00036FE2"/>
    <w:rsid w:val="0003708F"/>
    <w:rsid w:val="00047B85"/>
    <w:rsid w:val="000501EC"/>
    <w:rsid w:val="00055073"/>
    <w:rsid w:val="00061570"/>
    <w:rsid w:val="00061FDC"/>
    <w:rsid w:val="00072FA0"/>
    <w:rsid w:val="00075F34"/>
    <w:rsid w:val="00077160"/>
    <w:rsid w:val="00095EF0"/>
    <w:rsid w:val="000C4400"/>
    <w:rsid w:val="000F5C2C"/>
    <w:rsid w:val="00101108"/>
    <w:rsid w:val="00114DAC"/>
    <w:rsid w:val="00123084"/>
    <w:rsid w:val="0013170C"/>
    <w:rsid w:val="0013185B"/>
    <w:rsid w:val="0014386E"/>
    <w:rsid w:val="001452EC"/>
    <w:rsid w:val="001463F3"/>
    <w:rsid w:val="0014756D"/>
    <w:rsid w:val="00152097"/>
    <w:rsid w:val="00153BF3"/>
    <w:rsid w:val="00162469"/>
    <w:rsid w:val="00172A27"/>
    <w:rsid w:val="001757CF"/>
    <w:rsid w:val="001804CD"/>
    <w:rsid w:val="001944F8"/>
    <w:rsid w:val="00196F3A"/>
    <w:rsid w:val="001A42D1"/>
    <w:rsid w:val="001A663A"/>
    <w:rsid w:val="001B17F8"/>
    <w:rsid w:val="001B2BB4"/>
    <w:rsid w:val="001B65E9"/>
    <w:rsid w:val="001B6A11"/>
    <w:rsid w:val="001C7F74"/>
    <w:rsid w:val="001E71DB"/>
    <w:rsid w:val="001F0D34"/>
    <w:rsid w:val="001F5B78"/>
    <w:rsid w:val="00222106"/>
    <w:rsid w:val="002245C1"/>
    <w:rsid w:val="00232B73"/>
    <w:rsid w:val="00260E32"/>
    <w:rsid w:val="002704F5"/>
    <w:rsid w:val="00272363"/>
    <w:rsid w:val="00272ACC"/>
    <w:rsid w:val="002757A9"/>
    <w:rsid w:val="002829ED"/>
    <w:rsid w:val="00282ADC"/>
    <w:rsid w:val="002866FB"/>
    <w:rsid w:val="002A2E2D"/>
    <w:rsid w:val="002B01A5"/>
    <w:rsid w:val="002C3241"/>
    <w:rsid w:val="002C48A7"/>
    <w:rsid w:val="002C73E0"/>
    <w:rsid w:val="002D1B1B"/>
    <w:rsid w:val="002E430C"/>
    <w:rsid w:val="002E65C9"/>
    <w:rsid w:val="002F07FE"/>
    <w:rsid w:val="00311778"/>
    <w:rsid w:val="00321142"/>
    <w:rsid w:val="003509D5"/>
    <w:rsid w:val="003516A5"/>
    <w:rsid w:val="00352F04"/>
    <w:rsid w:val="00364D25"/>
    <w:rsid w:val="003710F7"/>
    <w:rsid w:val="003847F5"/>
    <w:rsid w:val="00385AE1"/>
    <w:rsid w:val="003A18E5"/>
    <w:rsid w:val="003A6A35"/>
    <w:rsid w:val="003B7E7C"/>
    <w:rsid w:val="003D0456"/>
    <w:rsid w:val="003D0FFB"/>
    <w:rsid w:val="003E184B"/>
    <w:rsid w:val="003E4602"/>
    <w:rsid w:val="003F1063"/>
    <w:rsid w:val="003F6261"/>
    <w:rsid w:val="004056DC"/>
    <w:rsid w:val="00414DC7"/>
    <w:rsid w:val="0041681A"/>
    <w:rsid w:val="0042235F"/>
    <w:rsid w:val="004347CF"/>
    <w:rsid w:val="00434EEC"/>
    <w:rsid w:val="00452DA2"/>
    <w:rsid w:val="00470188"/>
    <w:rsid w:val="0047115A"/>
    <w:rsid w:val="0048252F"/>
    <w:rsid w:val="00482B2A"/>
    <w:rsid w:val="00482CD2"/>
    <w:rsid w:val="004844BF"/>
    <w:rsid w:val="00490944"/>
    <w:rsid w:val="004976E5"/>
    <w:rsid w:val="004B0C15"/>
    <w:rsid w:val="004B6D73"/>
    <w:rsid w:val="004B7C11"/>
    <w:rsid w:val="004C7FB1"/>
    <w:rsid w:val="004E0DED"/>
    <w:rsid w:val="004F1025"/>
    <w:rsid w:val="004F6E23"/>
    <w:rsid w:val="005117F2"/>
    <w:rsid w:val="00535DFA"/>
    <w:rsid w:val="005402A4"/>
    <w:rsid w:val="00540F10"/>
    <w:rsid w:val="00547B51"/>
    <w:rsid w:val="00563EC0"/>
    <w:rsid w:val="00583A98"/>
    <w:rsid w:val="00592C51"/>
    <w:rsid w:val="0059620E"/>
    <w:rsid w:val="005A0023"/>
    <w:rsid w:val="005A7F5A"/>
    <w:rsid w:val="005B5FE1"/>
    <w:rsid w:val="005C5AAF"/>
    <w:rsid w:val="005C7251"/>
    <w:rsid w:val="005C75E5"/>
    <w:rsid w:val="005D3623"/>
    <w:rsid w:val="005D3723"/>
    <w:rsid w:val="005E0935"/>
    <w:rsid w:val="005E1B44"/>
    <w:rsid w:val="005F2422"/>
    <w:rsid w:val="005F2760"/>
    <w:rsid w:val="005F34DC"/>
    <w:rsid w:val="00602B14"/>
    <w:rsid w:val="00605F4A"/>
    <w:rsid w:val="00626E67"/>
    <w:rsid w:val="0065256F"/>
    <w:rsid w:val="00661A62"/>
    <w:rsid w:val="0066314F"/>
    <w:rsid w:val="006738A2"/>
    <w:rsid w:val="00684763"/>
    <w:rsid w:val="00691C59"/>
    <w:rsid w:val="0069433F"/>
    <w:rsid w:val="006A33F7"/>
    <w:rsid w:val="006A46B3"/>
    <w:rsid w:val="006A6306"/>
    <w:rsid w:val="006B54DF"/>
    <w:rsid w:val="006C7FFA"/>
    <w:rsid w:val="006D60A9"/>
    <w:rsid w:val="006E5801"/>
    <w:rsid w:val="006E7AAC"/>
    <w:rsid w:val="006E7B93"/>
    <w:rsid w:val="00711D68"/>
    <w:rsid w:val="00714CAE"/>
    <w:rsid w:val="00716764"/>
    <w:rsid w:val="00716C18"/>
    <w:rsid w:val="00726585"/>
    <w:rsid w:val="0072692A"/>
    <w:rsid w:val="00726ED1"/>
    <w:rsid w:val="00733932"/>
    <w:rsid w:val="00746BCF"/>
    <w:rsid w:val="00754448"/>
    <w:rsid w:val="007700D2"/>
    <w:rsid w:val="007847F1"/>
    <w:rsid w:val="00796FE5"/>
    <w:rsid w:val="007B3E21"/>
    <w:rsid w:val="007B4242"/>
    <w:rsid w:val="007C141D"/>
    <w:rsid w:val="007E0AAC"/>
    <w:rsid w:val="007E2619"/>
    <w:rsid w:val="00810BB2"/>
    <w:rsid w:val="008142A4"/>
    <w:rsid w:val="00814E89"/>
    <w:rsid w:val="0082314E"/>
    <w:rsid w:val="00834F5E"/>
    <w:rsid w:val="0083588E"/>
    <w:rsid w:val="00841103"/>
    <w:rsid w:val="008477D0"/>
    <w:rsid w:val="00860C13"/>
    <w:rsid w:val="00866D3B"/>
    <w:rsid w:val="00885B49"/>
    <w:rsid w:val="00892A81"/>
    <w:rsid w:val="008B1D93"/>
    <w:rsid w:val="008B7B87"/>
    <w:rsid w:val="008C0073"/>
    <w:rsid w:val="008C29C8"/>
    <w:rsid w:val="008C4601"/>
    <w:rsid w:val="008D390D"/>
    <w:rsid w:val="008F61E1"/>
    <w:rsid w:val="009038FD"/>
    <w:rsid w:val="0090700B"/>
    <w:rsid w:val="0092084D"/>
    <w:rsid w:val="00925A16"/>
    <w:rsid w:val="009260B9"/>
    <w:rsid w:val="00952AF8"/>
    <w:rsid w:val="00954DA6"/>
    <w:rsid w:val="009619FA"/>
    <w:rsid w:val="00962E4D"/>
    <w:rsid w:val="00970A26"/>
    <w:rsid w:val="00974CC7"/>
    <w:rsid w:val="0097505D"/>
    <w:rsid w:val="009812C8"/>
    <w:rsid w:val="00981B97"/>
    <w:rsid w:val="00987995"/>
    <w:rsid w:val="009A1742"/>
    <w:rsid w:val="009A5272"/>
    <w:rsid w:val="009B3FD8"/>
    <w:rsid w:val="009D06BA"/>
    <w:rsid w:val="009D18E9"/>
    <w:rsid w:val="009D4A19"/>
    <w:rsid w:val="009E0B30"/>
    <w:rsid w:val="009E4F60"/>
    <w:rsid w:val="009E6446"/>
    <w:rsid w:val="00A004CA"/>
    <w:rsid w:val="00A017F4"/>
    <w:rsid w:val="00A01A31"/>
    <w:rsid w:val="00A03376"/>
    <w:rsid w:val="00A05ED5"/>
    <w:rsid w:val="00A11D8C"/>
    <w:rsid w:val="00A1658E"/>
    <w:rsid w:val="00A203AA"/>
    <w:rsid w:val="00A21BD5"/>
    <w:rsid w:val="00A311DD"/>
    <w:rsid w:val="00A3289D"/>
    <w:rsid w:val="00A412AB"/>
    <w:rsid w:val="00A416F0"/>
    <w:rsid w:val="00A42A08"/>
    <w:rsid w:val="00A431E7"/>
    <w:rsid w:val="00A6754F"/>
    <w:rsid w:val="00A73EE4"/>
    <w:rsid w:val="00A801F7"/>
    <w:rsid w:val="00A807D8"/>
    <w:rsid w:val="00A81EAB"/>
    <w:rsid w:val="00A834FD"/>
    <w:rsid w:val="00A91AC1"/>
    <w:rsid w:val="00A976EF"/>
    <w:rsid w:val="00AA7BEC"/>
    <w:rsid w:val="00AB6197"/>
    <w:rsid w:val="00AC21D4"/>
    <w:rsid w:val="00AC2C9B"/>
    <w:rsid w:val="00AC4D6C"/>
    <w:rsid w:val="00AC5990"/>
    <w:rsid w:val="00AC6C20"/>
    <w:rsid w:val="00AD5CF9"/>
    <w:rsid w:val="00AE5A26"/>
    <w:rsid w:val="00AF1463"/>
    <w:rsid w:val="00B219B6"/>
    <w:rsid w:val="00B26B81"/>
    <w:rsid w:val="00B37A7A"/>
    <w:rsid w:val="00B42EB6"/>
    <w:rsid w:val="00B518B4"/>
    <w:rsid w:val="00B65EDD"/>
    <w:rsid w:val="00B82273"/>
    <w:rsid w:val="00B83385"/>
    <w:rsid w:val="00B84735"/>
    <w:rsid w:val="00BB228A"/>
    <w:rsid w:val="00BB24DF"/>
    <w:rsid w:val="00BC0246"/>
    <w:rsid w:val="00BC21FE"/>
    <w:rsid w:val="00BC332C"/>
    <w:rsid w:val="00BC7408"/>
    <w:rsid w:val="00BF7140"/>
    <w:rsid w:val="00C01FE1"/>
    <w:rsid w:val="00C03164"/>
    <w:rsid w:val="00C04247"/>
    <w:rsid w:val="00C105BF"/>
    <w:rsid w:val="00C25270"/>
    <w:rsid w:val="00C35374"/>
    <w:rsid w:val="00C37FEA"/>
    <w:rsid w:val="00C47890"/>
    <w:rsid w:val="00C637A3"/>
    <w:rsid w:val="00C80130"/>
    <w:rsid w:val="00C84F89"/>
    <w:rsid w:val="00CA05EF"/>
    <w:rsid w:val="00CA3156"/>
    <w:rsid w:val="00CA64FF"/>
    <w:rsid w:val="00CB3C16"/>
    <w:rsid w:val="00CB6E2B"/>
    <w:rsid w:val="00CC34B4"/>
    <w:rsid w:val="00CD4AAE"/>
    <w:rsid w:val="00CE22F0"/>
    <w:rsid w:val="00CF54ED"/>
    <w:rsid w:val="00CF718E"/>
    <w:rsid w:val="00D00D54"/>
    <w:rsid w:val="00D01586"/>
    <w:rsid w:val="00D01907"/>
    <w:rsid w:val="00D139E3"/>
    <w:rsid w:val="00D1413B"/>
    <w:rsid w:val="00D317A9"/>
    <w:rsid w:val="00D36CBC"/>
    <w:rsid w:val="00D41D92"/>
    <w:rsid w:val="00D502C4"/>
    <w:rsid w:val="00D57D3E"/>
    <w:rsid w:val="00D62311"/>
    <w:rsid w:val="00D70F0E"/>
    <w:rsid w:val="00D73151"/>
    <w:rsid w:val="00D7654D"/>
    <w:rsid w:val="00D80043"/>
    <w:rsid w:val="00D80FED"/>
    <w:rsid w:val="00D83FCA"/>
    <w:rsid w:val="00D93C18"/>
    <w:rsid w:val="00DA4093"/>
    <w:rsid w:val="00DA48FF"/>
    <w:rsid w:val="00DA6859"/>
    <w:rsid w:val="00DB03E6"/>
    <w:rsid w:val="00DB3440"/>
    <w:rsid w:val="00DC4C36"/>
    <w:rsid w:val="00DD4073"/>
    <w:rsid w:val="00DF025E"/>
    <w:rsid w:val="00DF0F26"/>
    <w:rsid w:val="00DF5078"/>
    <w:rsid w:val="00E00954"/>
    <w:rsid w:val="00E04664"/>
    <w:rsid w:val="00E20261"/>
    <w:rsid w:val="00E254E6"/>
    <w:rsid w:val="00E31968"/>
    <w:rsid w:val="00E336A8"/>
    <w:rsid w:val="00E5319B"/>
    <w:rsid w:val="00E55CBF"/>
    <w:rsid w:val="00E567F8"/>
    <w:rsid w:val="00E7035A"/>
    <w:rsid w:val="00E7562C"/>
    <w:rsid w:val="00E76406"/>
    <w:rsid w:val="00E77ABA"/>
    <w:rsid w:val="00E80A34"/>
    <w:rsid w:val="00E827A9"/>
    <w:rsid w:val="00E9153D"/>
    <w:rsid w:val="00EA457A"/>
    <w:rsid w:val="00EC312B"/>
    <w:rsid w:val="00EC4F43"/>
    <w:rsid w:val="00ED78CA"/>
    <w:rsid w:val="00EE0A85"/>
    <w:rsid w:val="00EE0EBF"/>
    <w:rsid w:val="00EE4959"/>
    <w:rsid w:val="00EE733A"/>
    <w:rsid w:val="00EF55F9"/>
    <w:rsid w:val="00EF6AA3"/>
    <w:rsid w:val="00F07C5F"/>
    <w:rsid w:val="00F160C1"/>
    <w:rsid w:val="00F1788E"/>
    <w:rsid w:val="00F25C95"/>
    <w:rsid w:val="00F2699E"/>
    <w:rsid w:val="00F41913"/>
    <w:rsid w:val="00F511A0"/>
    <w:rsid w:val="00F54BAA"/>
    <w:rsid w:val="00F55763"/>
    <w:rsid w:val="00F57B90"/>
    <w:rsid w:val="00F62A3C"/>
    <w:rsid w:val="00F770DD"/>
    <w:rsid w:val="00F96ED7"/>
    <w:rsid w:val="00F96FAC"/>
    <w:rsid w:val="00F96FCA"/>
    <w:rsid w:val="00FA643C"/>
    <w:rsid w:val="00FB49C0"/>
    <w:rsid w:val="00FE2D64"/>
    <w:rsid w:val="00FF40CF"/>
    <w:rsid w:val="00FF4189"/>
    <w:rsid w:val="0CA37DBF"/>
    <w:rsid w:val="1DA32883"/>
    <w:rsid w:val="32E4796A"/>
    <w:rsid w:val="41527412"/>
    <w:rsid w:val="44F82299"/>
    <w:rsid w:val="54D62B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iPriority w:val="99"/>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uiPriority w:val="99"/>
    <w:rPr>
      <w:b/>
      <w:bCs/>
    </w:rPr>
  </w:style>
  <w:style w:type="paragraph" w:styleId="5">
    <w:name w:val="annotation text"/>
    <w:basedOn w:val="1"/>
    <w:link w:val="26"/>
    <w:qFormat/>
    <w:uiPriority w:val="99"/>
    <w:pPr>
      <w:jc w:val="left"/>
    </w:pPr>
  </w:style>
  <w:style w:type="paragraph" w:styleId="6">
    <w:name w:val="Body Text First Indent"/>
    <w:basedOn w:val="7"/>
    <w:link w:val="29"/>
    <w:qFormat/>
    <w:uiPriority w:val="99"/>
    <w:pPr>
      <w:ind w:firstLine="420" w:firstLineChars="100"/>
    </w:pPr>
    <w:rPr>
      <w:sz w:val="21"/>
    </w:rPr>
  </w:style>
  <w:style w:type="paragraph" w:styleId="7">
    <w:name w:val="Body Text"/>
    <w:basedOn w:val="1"/>
    <w:link w:val="28"/>
    <w:qFormat/>
    <w:uiPriority w:val="99"/>
    <w:pPr>
      <w:spacing w:after="120"/>
    </w:pPr>
    <w:rPr>
      <w:sz w:val="28"/>
    </w:rPr>
  </w:style>
  <w:style w:type="paragraph" w:styleId="8">
    <w:name w:val="Normal Indent"/>
    <w:basedOn w:val="1"/>
    <w:link w:val="38"/>
    <w:qFormat/>
    <w:uiPriority w:val="99"/>
    <w:pPr>
      <w:ind w:firstLine="420"/>
    </w:pPr>
    <w:rPr>
      <w:szCs w:val="20"/>
    </w:rPr>
  </w:style>
  <w:style w:type="paragraph" w:styleId="9">
    <w:name w:val="Document Map"/>
    <w:basedOn w:val="1"/>
    <w:link w:val="30"/>
    <w:semiHidden/>
    <w:qFormat/>
    <w:uiPriority w:val="99"/>
    <w:pPr>
      <w:shd w:val="clear" w:color="auto" w:fill="000080"/>
    </w:pPr>
  </w:style>
  <w:style w:type="paragraph" w:styleId="10">
    <w:name w:val="Body Text Indent"/>
    <w:basedOn w:val="1"/>
    <w:link w:val="31"/>
    <w:qFormat/>
    <w:uiPriority w:val="99"/>
    <w:pPr>
      <w:ind w:firstLine="830" w:firstLineChars="352"/>
    </w:pPr>
    <w:rPr>
      <w:rFonts w:ascii="仿宋_GB2312" w:eastAsia="仿宋_GB2312"/>
      <w:sz w:val="32"/>
      <w:szCs w:val="20"/>
    </w:rPr>
  </w:style>
  <w:style w:type="paragraph" w:styleId="11">
    <w:name w:val="Plain Text"/>
    <w:basedOn w:val="1"/>
    <w:link w:val="37"/>
    <w:qFormat/>
    <w:uiPriority w:val="99"/>
    <w:rPr>
      <w:rFonts w:ascii="宋体" w:hAnsi="Courier New"/>
      <w:szCs w:val="20"/>
    </w:r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link w:val="36"/>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0">
    <w:name w:val="page number"/>
    <w:basedOn w:val="19"/>
    <w:uiPriority w:val="99"/>
    <w:rPr>
      <w:rFonts w:cs="Times New Roman"/>
    </w:rPr>
  </w:style>
  <w:style w:type="character" w:styleId="21">
    <w:name w:val="Hyperlink"/>
    <w:basedOn w:val="19"/>
    <w:qFormat/>
    <w:uiPriority w:val="99"/>
    <w:rPr>
      <w:rFonts w:cs="Times New Roman"/>
      <w:color w:val="151515"/>
      <w:u w:val="none"/>
    </w:rPr>
  </w:style>
  <w:style w:type="character" w:styleId="22">
    <w:name w:val="annotation reference"/>
    <w:basedOn w:val="19"/>
    <w:qFormat/>
    <w:uiPriority w:val="99"/>
    <w:rPr>
      <w:rFonts w:cs="Times New Roman"/>
      <w:sz w:val="21"/>
    </w:rPr>
  </w:style>
  <w:style w:type="character" w:customStyle="1" w:styleId="24">
    <w:name w:val="Heading 1 Char"/>
    <w:basedOn w:val="19"/>
    <w:link w:val="2"/>
    <w:qFormat/>
    <w:locked/>
    <w:uiPriority w:val="99"/>
    <w:rPr>
      <w:rFonts w:eastAsia="宋体" w:cs="Times New Roman"/>
      <w:b/>
      <w:kern w:val="44"/>
      <w:sz w:val="44"/>
      <w:lang w:val="en-US" w:eastAsia="zh-CN"/>
    </w:rPr>
  </w:style>
  <w:style w:type="character" w:customStyle="1" w:styleId="25">
    <w:name w:val="Heading 2 Char"/>
    <w:basedOn w:val="19"/>
    <w:link w:val="3"/>
    <w:semiHidden/>
    <w:qFormat/>
    <w:locked/>
    <w:uiPriority w:val="99"/>
    <w:rPr>
      <w:rFonts w:ascii="Cambria" w:hAnsi="Cambria" w:eastAsia="宋体" w:cs="Times New Roman"/>
      <w:b/>
      <w:bCs/>
      <w:sz w:val="32"/>
      <w:szCs w:val="32"/>
    </w:rPr>
  </w:style>
  <w:style w:type="character" w:customStyle="1" w:styleId="26">
    <w:name w:val="Comment Text Char"/>
    <w:basedOn w:val="19"/>
    <w:link w:val="5"/>
    <w:semiHidden/>
    <w:locked/>
    <w:uiPriority w:val="99"/>
    <w:rPr>
      <w:rFonts w:cs="Times New Roman"/>
      <w:sz w:val="24"/>
      <w:szCs w:val="24"/>
    </w:rPr>
  </w:style>
  <w:style w:type="character" w:customStyle="1" w:styleId="27">
    <w:name w:val="Comment Subject Char"/>
    <w:basedOn w:val="26"/>
    <w:link w:val="4"/>
    <w:semiHidden/>
    <w:qFormat/>
    <w:locked/>
    <w:uiPriority w:val="99"/>
    <w:rPr>
      <w:b/>
      <w:bCs/>
    </w:rPr>
  </w:style>
  <w:style w:type="character" w:customStyle="1" w:styleId="28">
    <w:name w:val="Body Text Char"/>
    <w:basedOn w:val="19"/>
    <w:link w:val="7"/>
    <w:semiHidden/>
    <w:qFormat/>
    <w:locked/>
    <w:uiPriority w:val="99"/>
    <w:rPr>
      <w:rFonts w:cs="Times New Roman"/>
      <w:sz w:val="24"/>
      <w:szCs w:val="24"/>
    </w:rPr>
  </w:style>
  <w:style w:type="character" w:customStyle="1" w:styleId="29">
    <w:name w:val="Body Text First Indent Char"/>
    <w:basedOn w:val="28"/>
    <w:link w:val="6"/>
    <w:semiHidden/>
    <w:qFormat/>
    <w:locked/>
    <w:uiPriority w:val="99"/>
  </w:style>
  <w:style w:type="character" w:customStyle="1" w:styleId="30">
    <w:name w:val="Document Map Char"/>
    <w:basedOn w:val="19"/>
    <w:link w:val="9"/>
    <w:semiHidden/>
    <w:qFormat/>
    <w:locked/>
    <w:uiPriority w:val="99"/>
    <w:rPr>
      <w:rFonts w:cs="Times New Roman"/>
      <w:sz w:val="2"/>
    </w:rPr>
  </w:style>
  <w:style w:type="character" w:customStyle="1" w:styleId="31">
    <w:name w:val="Body Text Indent Char"/>
    <w:basedOn w:val="19"/>
    <w:link w:val="10"/>
    <w:semiHidden/>
    <w:qFormat/>
    <w:locked/>
    <w:uiPriority w:val="99"/>
    <w:rPr>
      <w:rFonts w:cs="Times New Roman"/>
      <w:sz w:val="24"/>
      <w:szCs w:val="24"/>
    </w:rPr>
  </w:style>
  <w:style w:type="character" w:customStyle="1" w:styleId="32">
    <w:name w:val="Plain Text Char"/>
    <w:basedOn w:val="19"/>
    <w:link w:val="11"/>
    <w:semiHidden/>
    <w:qFormat/>
    <w:locked/>
    <w:uiPriority w:val="99"/>
    <w:rPr>
      <w:rFonts w:ascii="宋体" w:hAnsi="Courier New" w:eastAsia="宋体" w:cs="Times New Roman"/>
      <w:kern w:val="2"/>
      <w:sz w:val="21"/>
      <w:lang w:val="en-US" w:eastAsia="zh-CN"/>
    </w:rPr>
  </w:style>
  <w:style w:type="character" w:customStyle="1" w:styleId="33">
    <w:name w:val="Balloon Text Char"/>
    <w:basedOn w:val="19"/>
    <w:link w:val="12"/>
    <w:semiHidden/>
    <w:qFormat/>
    <w:locked/>
    <w:uiPriority w:val="99"/>
    <w:rPr>
      <w:rFonts w:cs="Times New Roman"/>
      <w:sz w:val="2"/>
    </w:rPr>
  </w:style>
  <w:style w:type="character" w:customStyle="1" w:styleId="34">
    <w:name w:val="Footer Char"/>
    <w:basedOn w:val="19"/>
    <w:link w:val="13"/>
    <w:semiHidden/>
    <w:qFormat/>
    <w:locked/>
    <w:uiPriority w:val="99"/>
    <w:rPr>
      <w:rFonts w:cs="Times New Roman"/>
      <w:sz w:val="18"/>
      <w:szCs w:val="18"/>
    </w:rPr>
  </w:style>
  <w:style w:type="character" w:customStyle="1" w:styleId="35">
    <w:name w:val="Header Char"/>
    <w:basedOn w:val="19"/>
    <w:link w:val="14"/>
    <w:qFormat/>
    <w:locked/>
    <w:uiPriority w:val="99"/>
    <w:rPr>
      <w:rFonts w:eastAsia="宋体" w:cs="Times New Roman"/>
      <w:kern w:val="2"/>
      <w:sz w:val="18"/>
      <w:lang w:val="en-US" w:eastAsia="zh-CN"/>
    </w:rPr>
  </w:style>
  <w:style w:type="character" w:customStyle="1" w:styleId="36">
    <w:name w:val="Body Text 2 Char"/>
    <w:basedOn w:val="19"/>
    <w:link w:val="17"/>
    <w:semiHidden/>
    <w:qFormat/>
    <w:locked/>
    <w:uiPriority w:val="99"/>
    <w:rPr>
      <w:rFonts w:cs="Times New Roman"/>
      <w:sz w:val="24"/>
      <w:szCs w:val="24"/>
    </w:rPr>
  </w:style>
  <w:style w:type="character" w:customStyle="1" w:styleId="37">
    <w:name w:val="Plain Text Char1"/>
    <w:link w:val="11"/>
    <w:qFormat/>
    <w:locked/>
    <w:uiPriority w:val="99"/>
    <w:rPr>
      <w:rFonts w:ascii="宋体" w:hAnsi="Courier New" w:eastAsia="宋体"/>
      <w:kern w:val="2"/>
      <w:sz w:val="21"/>
      <w:lang w:val="en-US" w:eastAsia="zh-CN"/>
    </w:rPr>
  </w:style>
  <w:style w:type="character" w:customStyle="1" w:styleId="38">
    <w:name w:val="Normal Indent Char"/>
    <w:link w:val="8"/>
    <w:qFormat/>
    <w:locked/>
    <w:uiPriority w:val="99"/>
    <w:rPr>
      <w:rFonts w:eastAsia="宋体"/>
      <w:kern w:val="2"/>
      <w:sz w:val="21"/>
      <w:lang w:val="en-US" w:eastAsia="zh-CN"/>
    </w:rPr>
  </w:style>
  <w:style w:type="paragraph" w:customStyle="1" w:styleId="39">
    <w:name w:val="Char Char"/>
    <w:basedOn w:val="1"/>
    <w:uiPriority w:val="99"/>
    <w:rPr>
      <w:rFonts w:ascii="Tahoma" w:hAnsi="Tahoma"/>
      <w:sz w:val="24"/>
      <w:szCs w:val="20"/>
    </w:rPr>
  </w:style>
  <w:style w:type="paragraph" w:customStyle="1" w:styleId="40">
    <w:name w:val="Char"/>
    <w:basedOn w:val="1"/>
    <w:qFormat/>
    <w:uiPriority w:val="99"/>
    <w:rPr>
      <w:rFonts w:ascii="仿宋_GB2312" w:eastAsia="仿宋_GB2312"/>
      <w:b/>
      <w:sz w:val="32"/>
      <w:szCs w:val="32"/>
    </w:rPr>
  </w:style>
  <w:style w:type="paragraph" w:customStyle="1" w:styleId="41">
    <w:name w:val="排版"/>
    <w:basedOn w:val="1"/>
    <w:next w:val="7"/>
    <w:qFormat/>
    <w:uiPriority w:val="99"/>
    <w:pPr>
      <w:spacing w:line="600" w:lineRule="exact"/>
    </w:pPr>
    <w:rPr>
      <w:rFonts w:eastAsia="华文仿宋"/>
      <w:spacing w:val="6"/>
      <w:sz w:val="32"/>
    </w:rPr>
  </w:style>
  <w:style w:type="paragraph" w:customStyle="1" w:styleId="42">
    <w:name w:val="_Style 27"/>
    <w:basedOn w:val="1"/>
    <w:uiPriority w:val="99"/>
    <w:pPr>
      <w:tabs>
        <w:tab w:val="right" w:pos="-2120"/>
      </w:tabs>
      <w:snapToGrid w:val="0"/>
    </w:pPr>
  </w:style>
  <w:style w:type="paragraph" w:customStyle="1" w:styleId="43">
    <w:name w:val="Char1"/>
    <w:basedOn w:val="1"/>
    <w:uiPriority w:val="99"/>
    <w:pPr>
      <w:tabs>
        <w:tab w:val="right" w:pos="-2120"/>
      </w:tabs>
      <w:snapToGrid w:val="0"/>
    </w:pPr>
  </w:style>
  <w:style w:type="paragraph" w:customStyle="1" w:styleId="44">
    <w:name w:val="列出段落1"/>
    <w:basedOn w:val="1"/>
    <w:qFormat/>
    <w:uiPriority w:val="99"/>
    <w:pPr>
      <w:ind w:firstLine="420" w:firstLineChars="200"/>
    </w:pPr>
  </w:style>
  <w:style w:type="paragraph" w:customStyle="1" w:styleId="45">
    <w:name w:val="正文 New New New New New New New New New New New New New New New New New New New"/>
    <w:qFormat/>
    <w:uiPriority w:val="99"/>
    <w:pPr>
      <w:widowControl w:val="0"/>
      <w:jc w:val="both"/>
    </w:pPr>
    <w:rPr>
      <w:rFonts w:ascii="Times New Roman" w:hAnsi="Times New Roman" w:eastAsia="宋体" w:cs="Times New Roman"/>
      <w:kern w:val="2"/>
      <w:sz w:val="28"/>
      <w:szCs w:val="24"/>
      <w:lang w:val="en-US" w:eastAsia="zh-CN" w:bidi="ar-SA"/>
    </w:rPr>
  </w:style>
  <w:style w:type="paragraph" w:customStyle="1" w:styleId="46">
    <w:name w:val="Char Char Char Char Char2 Char2"/>
    <w:basedOn w:val="1"/>
    <w:qFormat/>
    <w:uiPriority w:val="99"/>
  </w:style>
  <w:style w:type="paragraph" w:customStyle="1" w:styleId="47">
    <w:name w:val="List Paragraph1"/>
    <w:basedOn w:val="1"/>
    <w:qFormat/>
    <w:uiPriority w:val="99"/>
    <w:pPr>
      <w:adjustRightInd w:val="0"/>
      <w:spacing w:line="312" w:lineRule="atLeast"/>
      <w:ind w:firstLine="420" w:firstLineChars="200"/>
      <w:textAlignment w:val="baseline"/>
    </w:pPr>
    <w:rPr>
      <w:kern w:val="0"/>
      <w:szCs w:val="21"/>
    </w:rPr>
  </w:style>
  <w:style w:type="paragraph" w:customStyle="1" w:styleId="48">
    <w:name w:val="列出段落2"/>
    <w:basedOn w:val="1"/>
    <w:qFormat/>
    <w:uiPriority w:val="99"/>
    <w:pPr>
      <w:ind w:firstLine="420" w:firstLineChars="200"/>
    </w:pPr>
    <w:rPr>
      <w:rFonts w:ascii="Calibri" w:hAnsi="Calibri"/>
      <w:szCs w:val="22"/>
    </w:rPr>
  </w:style>
  <w:style w:type="paragraph" w:customStyle="1" w:styleId="49">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List Paragraph2"/>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长江大学</Company>
  <Pages>11</Pages>
  <Words>480</Words>
  <Characters>2738</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2017-04-13T00:24:00Z</dcterms:created>
  <dc:creator>采购与招投标管理处</dc:creator>
  <cp:lastModifiedBy>admin</cp:lastModifiedBy>
  <cp:lastPrinted>2017-03-20T09:47:00Z</cp:lastPrinted>
  <dcterms:modified xsi:type="dcterms:W3CDTF">2017-09-18T02:45:28Z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